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5D26D3"/>
    <w:p w14:paraId="2C28B6BF">
      <w:pPr>
        <w:spacing w:line="540" w:lineRule="exact"/>
        <w:jc w:val="center"/>
        <w:rPr>
          <w:rFonts w:hint="default" w:ascii="Times New Roman" w:hAnsi="Times New Roman" w:eastAsia="华文中宋" w:cs="Times New Roman"/>
          <w:b/>
          <w:kern w:val="0"/>
          <w:sz w:val="52"/>
          <w:szCs w:val="52"/>
        </w:rPr>
      </w:pPr>
    </w:p>
    <w:p w14:paraId="2DFC3FF1">
      <w:pPr>
        <w:spacing w:line="540" w:lineRule="exact"/>
        <w:rPr>
          <w:rFonts w:hint="default" w:ascii="Times New Roman" w:hAnsi="Times New Roman" w:eastAsia="华文中宋" w:cs="Times New Roman"/>
          <w:b/>
          <w:kern w:val="0"/>
          <w:sz w:val="52"/>
          <w:szCs w:val="52"/>
        </w:rPr>
      </w:pPr>
    </w:p>
    <w:p w14:paraId="74741BD1">
      <w:pPr>
        <w:spacing w:line="540" w:lineRule="exact"/>
        <w:jc w:val="center"/>
        <w:rPr>
          <w:rFonts w:hint="default" w:ascii="Times New Roman" w:hAnsi="Times New Roman" w:eastAsia="华文中宋" w:cs="Times New Roman"/>
          <w:b/>
          <w:kern w:val="0"/>
          <w:sz w:val="52"/>
          <w:szCs w:val="52"/>
        </w:rPr>
      </w:pPr>
    </w:p>
    <w:p w14:paraId="14635D3F">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乌财建[2024]210号关于下达2024年城乡坑震安居工程建设民生实事资金预算的通知资金项目支出绩效评价报告</w:t>
      </w:r>
    </w:p>
    <w:p w14:paraId="35F6ED55">
      <w:pPr>
        <w:spacing w:line="540" w:lineRule="exact"/>
        <w:jc w:val="center"/>
        <w:rPr>
          <w:rFonts w:hint="default" w:ascii="Times New Roman" w:hAnsi="Times New Roman" w:eastAsia="华文中宋" w:cs="Times New Roman"/>
          <w:b/>
          <w:kern w:val="0"/>
          <w:sz w:val="52"/>
          <w:szCs w:val="52"/>
        </w:rPr>
      </w:pPr>
    </w:p>
    <w:p w14:paraId="77281C2C">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402D82A7">
      <w:pPr>
        <w:spacing w:line="540" w:lineRule="exact"/>
        <w:jc w:val="center"/>
        <w:rPr>
          <w:rFonts w:hint="default" w:ascii="Times New Roman" w:hAnsi="Times New Roman" w:eastAsia="仿宋_GB2312" w:cs="Times New Roman"/>
          <w:kern w:val="0"/>
          <w:sz w:val="30"/>
          <w:szCs w:val="30"/>
        </w:rPr>
      </w:pPr>
    </w:p>
    <w:p w14:paraId="3A1265D7">
      <w:pPr>
        <w:spacing w:line="540" w:lineRule="exact"/>
        <w:jc w:val="center"/>
        <w:rPr>
          <w:rFonts w:hint="default" w:ascii="Times New Roman" w:hAnsi="Times New Roman" w:eastAsia="仿宋_GB2312" w:cs="Times New Roman"/>
          <w:kern w:val="0"/>
          <w:sz w:val="30"/>
          <w:szCs w:val="30"/>
        </w:rPr>
      </w:pPr>
    </w:p>
    <w:p w14:paraId="77FCE27D">
      <w:pPr>
        <w:spacing w:line="540" w:lineRule="exact"/>
        <w:jc w:val="center"/>
        <w:rPr>
          <w:rFonts w:hint="default" w:ascii="Times New Roman" w:hAnsi="Times New Roman" w:eastAsia="仿宋_GB2312" w:cs="Times New Roman"/>
          <w:kern w:val="0"/>
          <w:sz w:val="30"/>
          <w:szCs w:val="30"/>
        </w:rPr>
      </w:pPr>
    </w:p>
    <w:p w14:paraId="241B43C2">
      <w:pPr>
        <w:spacing w:line="540" w:lineRule="exact"/>
        <w:rPr>
          <w:rFonts w:hint="default" w:ascii="Times New Roman" w:hAnsi="Times New Roman" w:eastAsia="仿宋_GB2312" w:cs="Times New Roman"/>
          <w:kern w:val="0"/>
          <w:sz w:val="30"/>
          <w:szCs w:val="30"/>
        </w:rPr>
      </w:pPr>
    </w:p>
    <w:p w14:paraId="71768943">
      <w:pPr>
        <w:rPr>
          <w:rFonts w:hint="default" w:ascii="Times New Roman" w:hAnsi="Times New Roman" w:cs="Times New Roman"/>
        </w:rPr>
      </w:pPr>
    </w:p>
    <w:p w14:paraId="5379ED4D">
      <w:pPr>
        <w:rPr>
          <w:rFonts w:hint="default" w:ascii="Times New Roman" w:hAnsi="Times New Roman" w:cs="Times New Roman"/>
        </w:rPr>
      </w:pPr>
    </w:p>
    <w:p w14:paraId="095784E7">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项目名称：乌财建[2024]210号关于下达2024年城乡坑震安居工程建设民生实事资金预算的通知</w:t>
      </w:r>
    </w:p>
    <w:p w14:paraId="51B66C13">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default" w:ascii="Times New Roman" w:hAnsi="Times New Roman" w:eastAsia="仿宋_GB2312" w:cs="Times New Roman"/>
          <w:kern w:val="0"/>
          <w:sz w:val="36"/>
          <w:szCs w:val="36"/>
          <w:lang w:val="en-US" w:eastAsia="zh-CN"/>
        </w:rPr>
        <w:t>乌鲁木齐市水磨沟区石人子沟街道办事处</w:t>
      </w:r>
    </w:p>
    <w:p w14:paraId="3A38C25C">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w:t>
      </w:r>
      <w:r>
        <w:rPr>
          <w:rFonts w:hint="default" w:ascii="Times New Roman" w:hAnsi="Times New Roman" w:eastAsia="仿宋_GB2312" w:cs="Times New Roman"/>
          <w:kern w:val="0"/>
          <w:sz w:val="36"/>
          <w:szCs w:val="36"/>
          <w:lang w:val="en-US" w:eastAsia="zh-CN"/>
        </w:rPr>
        <w:t>：乌鲁木齐市水磨沟区石人子沟街道办事处</w:t>
      </w:r>
    </w:p>
    <w:p w14:paraId="17D6EEB2">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default" w:ascii="Times New Roman" w:hAnsi="Times New Roman" w:eastAsia="仿宋_GB2312" w:cs="Times New Roman"/>
          <w:kern w:val="0"/>
          <w:sz w:val="36"/>
          <w:szCs w:val="36"/>
          <w:lang w:val="en-US" w:eastAsia="zh-CN"/>
        </w:rPr>
        <w:t>班军</w:t>
      </w:r>
    </w:p>
    <w:p w14:paraId="72F2A73D">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Style w:val="14"/>
          <w:rFonts w:hint="default" w:ascii="Times New Roman" w:hAnsi="Times New Roman" w:eastAsia="黑体" w:cs="Times New Roman"/>
          <w:b w:val="0"/>
          <w:spacing w:val="-4"/>
          <w:sz w:val="32"/>
          <w:szCs w:val="32"/>
        </w:rPr>
        <w:sectPr>
          <w:pgSz w:w="11906" w:h="16838"/>
          <w:pgMar w:top="1440" w:right="1558" w:bottom="1440" w:left="1800" w:header="851" w:footer="992" w:gutter="0"/>
          <w:cols w:space="425" w:num="1"/>
          <w:docGrid w:type="lines" w:linePitch="312" w:charSpace="0"/>
        </w:sect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default" w:ascii="Times New Roman" w:hAnsi="Times New Roman" w:eastAsia="仿宋_GB2312" w:cs="Times New Roman"/>
          <w:kern w:val="0"/>
          <w:sz w:val="36"/>
          <w:szCs w:val="36"/>
          <w:lang w:val="en-US" w:eastAsia="zh-CN"/>
        </w:rPr>
        <w:t>14</w:t>
      </w:r>
      <w:r>
        <w:rPr>
          <w:rFonts w:hint="default" w:ascii="Times New Roman" w:hAnsi="Times New Roman" w:eastAsia="仿宋_GB2312" w:cs="Times New Roman"/>
          <w:kern w:val="0"/>
          <w:sz w:val="36"/>
          <w:szCs w:val="36"/>
        </w:rPr>
        <w:t>日</w:t>
      </w:r>
    </w:p>
    <w:p w14:paraId="145A9FAD">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09852A0D">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66E42ECA">
      <w:pPr>
        <w:pStyle w:val="19"/>
        <w:spacing w:line="560" w:lineRule="exact"/>
        <w:ind w:firstLine="640"/>
        <w:rPr>
          <w:rFonts w:hint="default" w:ascii="Times New Roman" w:hAnsi="Times New Roman" w:eastAsia="仿宋_GB2312" w:cs="Times New Roman"/>
          <w:b/>
          <w:bCs/>
          <w:sz w:val="32"/>
          <w:szCs w:val="32"/>
        </w:rPr>
      </w:pPr>
      <w:bookmarkStart w:id="0" w:name="_Toc196487534"/>
      <w:r>
        <w:rPr>
          <w:rFonts w:hint="eastAsia" w:ascii="Times New Roman" w:hAnsi="Times New Roman" w:eastAsia="仿宋_GB2312" w:cs="Times New Roman"/>
          <w:b/>
          <w:bCs/>
          <w:sz w:val="32"/>
          <w:szCs w:val="32"/>
        </w:rPr>
        <w:t>1．项目背景、主要内容及实施情况</w:t>
      </w:r>
      <w:bookmarkEnd w:id="0"/>
    </w:p>
    <w:p w14:paraId="3ADCC36F">
      <w:pPr>
        <w:spacing w:line="560" w:lineRule="exact"/>
        <w:ind w:firstLine="640" w:firstLineChars="200"/>
        <w:rPr>
          <w:rFonts w:hint="default" w:ascii="Times New Roman" w:hAnsi="Times New Roman" w:eastAsia="仿宋_GB2312" w:cs="Times New Roman"/>
          <w:b/>
          <w:bCs/>
          <w:sz w:val="32"/>
          <w:szCs w:val="32"/>
        </w:rPr>
      </w:pPr>
      <w:r>
        <w:rPr>
          <w:rFonts w:hint="eastAsia" w:ascii="Times New Roman" w:hAnsi="Times New Roman" w:eastAsia="仿宋_GB2312" w:cs="Times New Roman"/>
          <w:sz w:val="32"/>
          <w:szCs w:val="32"/>
        </w:rPr>
        <w:t>该项目实施背景：</w:t>
      </w:r>
      <w:r>
        <w:rPr>
          <w:rFonts w:hint="default" w:ascii="Times New Roman" w:hAnsi="Times New Roman" w:eastAsia="仿宋_GB2312" w:cs="Times New Roman"/>
          <w:sz w:val="32"/>
          <w:szCs w:val="32"/>
        </w:rPr>
        <w:t>2024年1月23日2时09分，阿克苏地区乌什县发生7.1级地震灾害，造成克州阿合奇县越冬放牧点个别生产用房倒塌，导致3名牧民死亡。按照自治区党委、人民政府的部署和工作要求，根据市建设局《关于确认牧民越冬放牧点生产用房(居住)有关情况的通知》的文件精神，我单位认真组织摸排东部三个村(葛家沟村、石人子沟村、涝坝沟村)本地牧民越冬放牧点生产用房(居住)情况</w:t>
      </w:r>
      <w:r>
        <w:rPr>
          <w:rFonts w:hint="default" w:ascii="Times New Roman" w:hAnsi="Times New Roman" w:eastAsia="仿宋_GB2312" w:cs="Times New Roman"/>
          <w:sz w:val="32"/>
          <w:szCs w:val="32"/>
          <w:lang w:eastAsia="zh-CN"/>
        </w:rPr>
        <w:t>，对辖区牧民越冬放牧点生产用房进行排查评估，评估为C、D级的牧民越冬放牧点生产用房（居住）42 户，</w:t>
      </w:r>
      <w:r>
        <w:rPr>
          <w:rFonts w:hint="default" w:ascii="Times New Roman" w:hAnsi="Times New Roman" w:eastAsia="仿宋_GB2312" w:cs="Times New Roman"/>
          <w:sz w:val="30"/>
          <w:szCs w:val="30"/>
        </w:rPr>
        <w:t>计划对 42 户牧民越冬放牧点生产用房（居住）拆除原有建筑、新建混凝土地坪等</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lang w:val="en-US" w:eastAsia="zh-CN"/>
        </w:rPr>
        <w:t>并</w:t>
      </w:r>
      <w:r>
        <w:rPr>
          <w:rFonts w:hint="default" w:ascii="Times New Roman" w:hAnsi="Times New Roman" w:eastAsia="仿宋_GB2312" w:cs="Times New Roman"/>
          <w:sz w:val="30"/>
          <w:szCs w:val="30"/>
        </w:rPr>
        <w:t>采用成品房屋吊装方式实施</w:t>
      </w:r>
      <w:r>
        <w:rPr>
          <w:rFonts w:hint="default" w:ascii="Times New Roman" w:hAnsi="Times New Roman" w:eastAsia="仿宋_GB2312" w:cs="Times New Roman"/>
          <w:sz w:val="30"/>
          <w:szCs w:val="30"/>
          <w:lang w:val="en-US" w:eastAsia="zh-CN"/>
        </w:rPr>
        <w:t>新</w:t>
      </w:r>
      <w:r>
        <w:rPr>
          <w:rFonts w:hint="default" w:ascii="Times New Roman" w:hAnsi="Times New Roman" w:eastAsia="仿宋_GB2312" w:cs="Times New Roman"/>
          <w:sz w:val="30"/>
          <w:szCs w:val="30"/>
        </w:rPr>
        <w:t>生产用房</w:t>
      </w:r>
      <w:r>
        <w:rPr>
          <w:rFonts w:hint="eastAsia" w:eastAsia="仿宋_GB2312" w:cs="Times New Roman"/>
          <w:sz w:val="30"/>
          <w:szCs w:val="30"/>
          <w:lang w:eastAsia="zh-CN"/>
        </w:rPr>
        <w:t>，</w:t>
      </w:r>
      <w:r>
        <w:rPr>
          <w:rFonts w:hint="default" w:ascii="Times New Roman" w:hAnsi="Times New Roman" w:eastAsia="仿宋_GB2312" w:cs="Times New Roman"/>
          <w:sz w:val="32"/>
          <w:szCs w:val="32"/>
          <w:lang w:val="en-US" w:eastAsia="zh-CN"/>
        </w:rPr>
        <w:t>通过此项目的开展有效提高了三个村越冬放牧点用房安全，最大程度减少灾害损失，切实保障人民群众生命财产安全</w:t>
      </w:r>
      <w:r>
        <w:rPr>
          <w:rFonts w:hint="default" w:ascii="Times New Roman" w:hAnsi="Times New Roman" w:eastAsia="仿宋_GB2312" w:cs="Times New Roman"/>
          <w:sz w:val="30"/>
          <w:szCs w:val="30"/>
        </w:rPr>
        <w:t>。</w:t>
      </w:r>
    </w:p>
    <w:p w14:paraId="6B866FCA">
      <w:pPr>
        <w:spacing w:line="560" w:lineRule="exact"/>
        <w:ind w:firstLine="600" w:firstLineChars="200"/>
        <w:rPr>
          <w:rFonts w:hint="default" w:ascii="Times New Roman" w:hAnsi="Times New Roman" w:eastAsia="黑体" w:cs="Times New Roman"/>
          <w:highlight w:val="yellow"/>
        </w:rPr>
      </w:pPr>
      <w:r>
        <w:rPr>
          <w:rFonts w:hint="default" w:ascii="Times New Roman" w:hAnsi="Times New Roman" w:eastAsia="仿宋_GB2312" w:cs="Times New Roman"/>
          <w:sz w:val="30"/>
          <w:szCs w:val="30"/>
        </w:rPr>
        <w:t>项目</w:t>
      </w:r>
      <w:r>
        <w:rPr>
          <w:rFonts w:hint="eastAsia" w:ascii="Times New Roman" w:hAnsi="Times New Roman" w:eastAsia="仿宋_GB2312" w:cs="Times New Roman"/>
          <w:sz w:val="30"/>
          <w:szCs w:val="30"/>
        </w:rPr>
        <w:t>2024</w:t>
      </w:r>
      <w:r>
        <w:rPr>
          <w:rFonts w:hint="default" w:ascii="Times New Roman" w:hAnsi="Times New Roman" w:eastAsia="仿宋_GB2312" w:cs="Times New Roman"/>
          <w:sz w:val="30"/>
          <w:szCs w:val="30"/>
        </w:rPr>
        <w:t>年的主要内容：计划对 42 户牧民越冬放牧点生产用房（居住）拆除原有建筑42栋(其中：徒步道饮马渠18栋、石人沟水库5栋、月亮台子19栋)、新建混凝土地坪等</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lang w:val="en-US" w:eastAsia="zh-CN"/>
        </w:rPr>
        <w:t>并</w:t>
      </w:r>
      <w:r>
        <w:rPr>
          <w:rFonts w:hint="default" w:ascii="Times New Roman" w:hAnsi="Times New Roman" w:eastAsia="仿宋_GB2312" w:cs="Times New Roman"/>
          <w:sz w:val="30"/>
          <w:szCs w:val="30"/>
        </w:rPr>
        <w:t>采用成品房屋吊装方式实施</w:t>
      </w:r>
      <w:r>
        <w:rPr>
          <w:rFonts w:hint="default" w:ascii="Times New Roman" w:hAnsi="Times New Roman" w:eastAsia="仿宋_GB2312" w:cs="Times New Roman"/>
          <w:sz w:val="30"/>
          <w:szCs w:val="30"/>
          <w:lang w:val="en-US" w:eastAsia="zh-CN"/>
        </w:rPr>
        <w:t>新</w:t>
      </w:r>
      <w:r>
        <w:rPr>
          <w:rFonts w:hint="default" w:ascii="Times New Roman" w:hAnsi="Times New Roman" w:eastAsia="仿宋_GB2312" w:cs="Times New Roman"/>
          <w:sz w:val="30"/>
          <w:szCs w:val="30"/>
        </w:rPr>
        <w:t>生产用房。</w:t>
      </w:r>
    </w:p>
    <w:p w14:paraId="4F23A12F">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项目实施情况：项目已经完成实际设立的目标，项目在实施过程中严格按照目标设立的各阶段任务进行开展工作，在前期立项过程中严格把质量关，建立安全防护机制，</w:t>
      </w:r>
      <w:r>
        <w:rPr>
          <w:rFonts w:hint="eastAsia" w:eastAsia="仿宋_GB2312" w:cs="Times New Roman"/>
          <w:sz w:val="32"/>
          <w:szCs w:val="32"/>
          <w:lang w:val="en-US" w:eastAsia="zh-CN"/>
        </w:rPr>
        <w:t>已完成项目场地平整施工及验收、房屋采购验收完成</w:t>
      </w:r>
      <w:r>
        <w:rPr>
          <w:rFonts w:hint="default" w:ascii="Times New Roman" w:hAnsi="Times New Roman" w:eastAsia="仿宋_GB2312" w:cs="Times New Roman"/>
          <w:sz w:val="32"/>
          <w:szCs w:val="32"/>
        </w:rPr>
        <w:t>。</w:t>
      </w:r>
    </w:p>
    <w:p w14:paraId="5762B553">
      <w:pPr>
        <w:pStyle w:val="19"/>
        <w:spacing w:line="560" w:lineRule="exact"/>
        <w:ind w:firstLine="640"/>
        <w:rPr>
          <w:rFonts w:hint="default" w:ascii="Times New Roman" w:hAnsi="Times New Roman" w:eastAsia="仿宋_GB2312" w:cs="Times New Roman"/>
          <w:b/>
          <w:bCs/>
          <w:sz w:val="32"/>
          <w:szCs w:val="32"/>
        </w:rPr>
      </w:pPr>
      <w:r>
        <w:rPr>
          <w:rFonts w:hint="eastAsia" w:eastAsia="仿宋_GB2312" w:cs="Times New Roman"/>
          <w:b/>
          <w:bCs/>
          <w:sz w:val="32"/>
          <w:szCs w:val="32"/>
          <w:lang w:val="en-US" w:eastAsia="zh-CN"/>
        </w:rPr>
        <w:t>2</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资金投入和使用情况</w:t>
      </w:r>
    </w:p>
    <w:p w14:paraId="38F7F584">
      <w:pP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该项目资金投入情况：经乌财建[2024]210号关于下达2024年城乡坑震安居工程建设民生实事资金预算的通知文件批准，项目系2024年自治区资金，共安排预算</w:t>
      </w:r>
      <w:r>
        <w:rPr>
          <w:rFonts w:hint="eastAsia" w:eastAsia="仿宋_GB2312" w:cs="Times New Roman"/>
          <w:sz w:val="32"/>
          <w:szCs w:val="32"/>
          <w:highlight w:val="none"/>
          <w:lang w:val="en-US" w:eastAsia="zh-CN"/>
        </w:rPr>
        <w:t>126</w:t>
      </w:r>
      <w:r>
        <w:rPr>
          <w:rFonts w:hint="default" w:ascii="Times New Roman" w:hAnsi="Times New Roman" w:eastAsia="仿宋_GB2312" w:cs="Times New Roman"/>
          <w:sz w:val="32"/>
          <w:szCs w:val="32"/>
          <w:highlight w:val="none"/>
        </w:rPr>
        <w:t>万元，于2024年年中追加项目，年中资金</w:t>
      </w:r>
      <w:r>
        <w:rPr>
          <w:rFonts w:hint="eastAsia" w:eastAsia="仿宋_GB2312" w:cs="Times New Roman"/>
          <w:sz w:val="32"/>
          <w:szCs w:val="32"/>
          <w:highlight w:val="none"/>
          <w:lang w:val="en-US" w:eastAsia="zh-CN"/>
        </w:rPr>
        <w:t>未</w:t>
      </w:r>
      <w:r>
        <w:rPr>
          <w:rFonts w:hint="default" w:ascii="Times New Roman" w:hAnsi="Times New Roman" w:eastAsia="仿宋_GB2312" w:cs="Times New Roman"/>
          <w:sz w:val="32"/>
          <w:szCs w:val="32"/>
          <w:highlight w:val="none"/>
        </w:rPr>
        <w:t>调整</w:t>
      </w:r>
      <w:r>
        <w:rPr>
          <w:rFonts w:hint="eastAsia" w:eastAsia="仿宋_GB2312" w:cs="Times New Roman"/>
          <w:sz w:val="32"/>
          <w:szCs w:val="32"/>
          <w:highlight w:val="none"/>
          <w:lang w:eastAsia="zh-CN"/>
        </w:rPr>
        <w:t>。</w:t>
      </w:r>
    </w:p>
    <w:p w14:paraId="2F3AEDEE">
      <w:pPr>
        <w:spacing w:line="600" w:lineRule="exact"/>
        <w:ind w:firstLine="640" w:firstLineChars="200"/>
        <w:outlineLvl w:val="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highlight w:val="none"/>
        </w:rPr>
        <w:t>该项目资金使用情况：</w:t>
      </w:r>
      <w:r>
        <w:rPr>
          <w:rFonts w:hint="default" w:ascii="Times New Roman" w:hAnsi="Times New Roman" w:eastAsia="仿宋_GB2312" w:cs="Times New Roman"/>
          <w:sz w:val="32"/>
          <w:szCs w:val="32"/>
          <w:highlight w:val="none"/>
        </w:rPr>
        <w:t>该</w:t>
      </w:r>
      <w:r>
        <w:rPr>
          <w:rFonts w:hint="default" w:ascii="Times New Roman" w:hAnsi="Times New Roman" w:eastAsia="仿宋_GB2312" w:cs="Times New Roman"/>
          <w:sz w:val="32"/>
          <w:szCs w:val="32"/>
          <w:highlight w:val="none"/>
          <w:lang w:val="en-US" w:eastAsia="zh-CN"/>
        </w:rPr>
        <w:t>项目年初预算数</w:t>
      </w:r>
      <w:r>
        <w:rPr>
          <w:rFonts w:hint="default" w:ascii="Times New Roman" w:hAnsi="Times New Roman" w:eastAsia="仿宋_GB2312" w:cs="Times New Roman"/>
          <w:sz w:val="32"/>
          <w:szCs w:val="32"/>
          <w:lang w:val="en-US" w:eastAsia="zh-CN"/>
        </w:rPr>
        <w:t>126万元，全年预算数126万元,全年执行数36.33万元，预算执行率为28.83%，主要用于：支付越冬放牧点生产用房费用</w:t>
      </w:r>
      <w:r>
        <w:rPr>
          <w:rFonts w:hint="eastAsia" w:eastAsia="仿宋_GB2312" w:cs="Times New Roman"/>
          <w:sz w:val="32"/>
          <w:szCs w:val="32"/>
          <w:lang w:val="en-US" w:eastAsia="zh-CN"/>
        </w:rPr>
        <w:t>、拆除房屋平整场地费用、工程设计及监理费用</w:t>
      </w:r>
      <w:r>
        <w:rPr>
          <w:rFonts w:hint="default" w:ascii="Times New Roman" w:hAnsi="Times New Roman" w:eastAsia="仿宋_GB2312" w:cs="Times New Roman"/>
          <w:sz w:val="32"/>
          <w:szCs w:val="32"/>
          <w:lang w:val="en-US" w:eastAsia="zh-CN"/>
        </w:rPr>
        <w:t>。</w:t>
      </w:r>
    </w:p>
    <w:p w14:paraId="201EBAF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17C08B57">
      <w:pPr>
        <w:spacing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kern w:val="0"/>
          <w:sz w:val="32"/>
          <w:szCs w:val="32"/>
          <w:lang w:val="en-US" w:eastAsia="zh-CN" w:bidi="ar-SA"/>
        </w:rPr>
        <w:t>1.总体目标</w:t>
      </w:r>
    </w:p>
    <w:p w14:paraId="0BF2AF54">
      <w:pP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乌财建[2024]210号关于下达2024年城乡坑震安居工程建设民生实事资金预算的通知，此项目涉及金额126万元，涉及石人子沟街道3村，牧民户数42户，</w:t>
      </w:r>
      <w:r>
        <w:rPr>
          <w:rFonts w:hint="eastAsia" w:eastAsia="仿宋_GB2312" w:cs="Times New Roman"/>
          <w:sz w:val="32"/>
          <w:szCs w:val="32"/>
          <w:lang w:val="en-US" w:eastAsia="zh-CN"/>
        </w:rPr>
        <w:t>房屋建设资金</w:t>
      </w:r>
      <w:r>
        <w:rPr>
          <w:rFonts w:hint="default" w:ascii="Times New Roman" w:hAnsi="Times New Roman" w:eastAsia="仿宋_GB2312" w:cs="Times New Roman"/>
          <w:sz w:val="32"/>
          <w:szCs w:val="32"/>
          <w:lang w:val="en-US" w:eastAsia="zh-CN"/>
        </w:rPr>
        <w:t>每户金额3万元。通过此项目的开展有效提高了三个村越冬放牧点用房安全，最大程度减少灾害损失，切实保障人民群众生命财产安全。</w:t>
      </w:r>
    </w:p>
    <w:p w14:paraId="1AEC8000">
      <w:pP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该项目为</w:t>
      </w:r>
      <w:r>
        <w:rPr>
          <w:rFonts w:hint="default" w:ascii="Times New Roman" w:hAnsi="Times New Roman" w:eastAsia="仿宋_GB2312" w:cs="Times New Roman"/>
          <w:sz w:val="32"/>
          <w:szCs w:val="32"/>
          <w:lang w:val="en-US" w:eastAsia="zh-CN"/>
        </w:rPr>
        <w:t>当年一次性项目。</w:t>
      </w:r>
    </w:p>
    <w:p w14:paraId="11FBEE44">
      <w:pPr>
        <w:spacing w:line="600" w:lineRule="exact"/>
        <w:ind w:firstLine="640" w:firstLineChars="200"/>
        <w:outlineLvl w:val="0"/>
        <w:rPr>
          <w:rFonts w:hint="default" w:ascii="Times New Roman" w:hAnsi="Times New Roman" w:eastAsia="仿宋_GB2312" w:cs="Times New Roman"/>
          <w:sz w:val="32"/>
          <w:szCs w:val="32"/>
          <w:lang w:val="en-US" w:eastAsia="zh-CN"/>
        </w:rPr>
      </w:pPr>
    </w:p>
    <w:p w14:paraId="4B6E702B">
      <w:pPr>
        <w:spacing w:line="560" w:lineRule="exact"/>
        <w:ind w:firstLine="643" w:firstLineChars="200"/>
        <w:rPr>
          <w:rFonts w:hint="default" w:ascii="Times New Roman" w:hAnsi="Times New Roman" w:eastAsia="仿宋_GB2312" w:cs="Times New Roman"/>
          <w:b w:val="0"/>
          <w:bCs w:val="0"/>
          <w:color w:val="FF0000"/>
          <w:sz w:val="30"/>
          <w:szCs w:val="30"/>
        </w:rPr>
      </w:pPr>
      <w:r>
        <w:rPr>
          <w:rFonts w:hint="default" w:ascii="Times New Roman" w:hAnsi="Times New Roman" w:eastAsia="仿宋_GB2312" w:cs="Times New Roman"/>
          <w:b/>
          <w:bCs/>
          <w:kern w:val="0"/>
          <w:sz w:val="32"/>
          <w:szCs w:val="32"/>
          <w:lang w:val="en-US" w:eastAsia="zh-CN" w:bidi="ar-SA"/>
        </w:rPr>
        <w:t>2.阶段性目标</w:t>
      </w:r>
    </w:p>
    <w:p w14:paraId="3AF44B32">
      <w:pP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①完成成品房屋政府集中采购</w:t>
      </w:r>
      <w:r>
        <w:rPr>
          <w:rFonts w:hint="eastAsia" w:eastAsia="仿宋_GB2312" w:cs="Times New Roman"/>
          <w:sz w:val="32"/>
          <w:szCs w:val="32"/>
          <w:lang w:val="en-US" w:eastAsia="zh-CN"/>
        </w:rPr>
        <w:t>，采用招标代理竞争性磋商方式选定房屋采购方。</w:t>
      </w:r>
    </w:p>
    <w:p w14:paraId="39DC1342">
      <w:pP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②完成</w:t>
      </w:r>
      <w:r>
        <w:rPr>
          <w:rFonts w:hint="default" w:ascii="Times New Roman" w:hAnsi="Times New Roman" w:eastAsia="仿宋_GB2312" w:cs="Times New Roman"/>
          <w:sz w:val="30"/>
          <w:szCs w:val="30"/>
        </w:rPr>
        <w:t>拆除原有建筑、新建混凝土地坪</w:t>
      </w:r>
      <w:r>
        <w:rPr>
          <w:rFonts w:hint="eastAsia" w:eastAsia="仿宋_GB2312" w:cs="Times New Roman"/>
          <w:sz w:val="30"/>
          <w:szCs w:val="30"/>
          <w:lang w:val="en-US" w:eastAsia="zh-CN"/>
        </w:rPr>
        <w:t>施工等项目招标工作。</w:t>
      </w:r>
    </w:p>
    <w:p w14:paraId="3941D81B">
      <w:pP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③</w:t>
      </w:r>
      <w:r>
        <w:rPr>
          <w:rFonts w:hint="eastAsia" w:eastAsia="仿宋_GB2312" w:cs="Times New Roman"/>
          <w:sz w:val="32"/>
          <w:szCs w:val="32"/>
          <w:lang w:val="en-US" w:eastAsia="zh-CN"/>
        </w:rPr>
        <w:t>完成项目施工设计及监理方。</w:t>
      </w:r>
    </w:p>
    <w:p w14:paraId="38811576">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2A960F59">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2F58F216">
      <w:pPr>
        <w:pStyle w:val="19"/>
        <w:spacing w:line="560" w:lineRule="exact"/>
        <w:ind w:firstLine="640"/>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1.</w:t>
      </w:r>
      <w:bookmarkStart w:id="1" w:name="_Toc166684233"/>
      <w:r>
        <w:rPr>
          <w:rFonts w:hint="eastAsia" w:eastAsia="仿宋_GB2312" w:cs="Times New Roman"/>
          <w:b/>
          <w:bCs/>
          <w:sz w:val="32"/>
          <w:szCs w:val="32"/>
          <w:lang w:val="en-US" w:eastAsia="zh-CN"/>
        </w:rPr>
        <w:t>1绩效评价完整性</w:t>
      </w:r>
      <w:bookmarkEnd w:id="1"/>
    </w:p>
    <w:p w14:paraId="1E6F0697">
      <w:pPr>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首先，对于项目的目标、范围和要求，我们需要通过绩效评价指标体系将其完整地体现出来。这意味着，我们需要明确项目的核心目标，主要为</w:t>
      </w:r>
      <w:r>
        <w:rPr>
          <w:rFonts w:hint="default" w:ascii="Times New Roman" w:hAnsi="Times New Roman" w:eastAsia="仿宋_GB2312" w:cs="Times New Roman"/>
          <w:sz w:val="32"/>
          <w:szCs w:val="32"/>
          <w:lang w:val="en-US" w:eastAsia="zh-CN"/>
        </w:rPr>
        <w:t>乌财建[2024]210号关于下达2024年城乡坑震安居工程建设民生实事资金预算的通知</w:t>
      </w:r>
      <w:r>
        <w:rPr>
          <w:rFonts w:hint="eastAsia" w:ascii="Times New Roman" w:hAnsi="Times New Roman" w:eastAsia="仿宋_GB2312" w:cs="Times New Roman"/>
          <w:sz w:val="32"/>
          <w:szCs w:val="32"/>
          <w:lang w:val="en-US" w:eastAsia="zh-CN"/>
        </w:rPr>
        <w:t>项目，评价指标通过</w:t>
      </w:r>
      <w:r>
        <w:rPr>
          <w:rFonts w:hint="eastAsia" w:eastAsia="仿宋_GB2312" w:cs="Times New Roman"/>
          <w:sz w:val="32"/>
          <w:szCs w:val="32"/>
          <w:lang w:val="en-US" w:eastAsia="zh-CN"/>
        </w:rPr>
        <w:t>对</w:t>
      </w:r>
      <w:r>
        <w:rPr>
          <w:rFonts w:hint="default" w:ascii="Times New Roman" w:hAnsi="Times New Roman" w:eastAsia="仿宋_GB2312" w:cs="Times New Roman"/>
          <w:sz w:val="32"/>
          <w:szCs w:val="32"/>
          <w:lang w:val="en-US" w:eastAsia="zh-CN"/>
        </w:rPr>
        <w:t>42户牧民越冬放牧点生产用房拆除原有建筑、新建混凝土地坪等，并采用成品房屋吊装方式实施新生产用房</w:t>
      </w:r>
      <w:r>
        <w:rPr>
          <w:rFonts w:hint="eastAsia" w:eastAsia="仿宋_GB2312" w:cs="Times New Roman"/>
          <w:sz w:val="32"/>
          <w:szCs w:val="32"/>
          <w:lang w:val="en-US" w:eastAsia="zh-CN"/>
        </w:rPr>
        <w:t>，提高牧民越冬放牧点用房安全性。</w:t>
      </w:r>
      <w:r>
        <w:rPr>
          <w:rFonts w:hint="default" w:ascii="Times New Roman" w:hAnsi="Times New Roman" w:eastAsia="仿宋_GB2312" w:cs="Times New Roman"/>
          <w:sz w:val="32"/>
          <w:szCs w:val="32"/>
          <w:lang w:val="en-US" w:eastAsia="zh-CN"/>
        </w:rPr>
        <w:t>支付越冬放牧点生产用房费用</w:t>
      </w:r>
      <w:r>
        <w:rPr>
          <w:rFonts w:hint="eastAsia" w:eastAsia="仿宋_GB2312" w:cs="Times New Roman"/>
          <w:sz w:val="32"/>
          <w:szCs w:val="32"/>
          <w:lang w:val="en-US" w:eastAsia="zh-CN"/>
        </w:rPr>
        <w:t>、拆除房屋平整场地费用、工程设计及监理费用</w:t>
      </w:r>
      <w:r>
        <w:rPr>
          <w:rFonts w:hint="default" w:ascii="Times New Roman" w:hAnsi="Times New Roman" w:eastAsia="仿宋_GB2312" w:cs="Times New Roman"/>
          <w:sz w:val="32"/>
          <w:szCs w:val="32"/>
          <w:lang w:val="en-US" w:eastAsia="zh-CN"/>
        </w:rPr>
        <w:t>。</w:t>
      </w:r>
    </w:p>
    <w:p w14:paraId="4C06AFC5">
      <w:pPr>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其次，分析项目的计划和执行过程，是确保体现项目的进展情况和完成度的重要步骤。我们按照暂付款项目的具体用途和资金实际使用涉及的相关科目，逐条进行消化，以便对项目的整体情况有一个清晰的了解。</w:t>
      </w:r>
    </w:p>
    <w:p w14:paraId="5D2B7801">
      <w:pP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最后，评价数据资料来源于项目档案中项目立项、合同、招投标等项目资料；从会计档案中收集资金支付相关凭证；从辖区</w:t>
      </w:r>
      <w:r>
        <w:rPr>
          <w:rFonts w:hint="eastAsia" w:eastAsia="仿宋_GB2312" w:cs="Times New Roman"/>
          <w:sz w:val="32"/>
          <w:szCs w:val="32"/>
          <w:lang w:val="en-US" w:eastAsia="zh-CN"/>
        </w:rPr>
        <w:t>牧民</w:t>
      </w:r>
      <w:r>
        <w:rPr>
          <w:rFonts w:hint="eastAsia" w:ascii="Times New Roman" w:hAnsi="Times New Roman" w:eastAsia="仿宋_GB2312" w:cs="Times New Roman"/>
          <w:sz w:val="32"/>
          <w:szCs w:val="32"/>
          <w:lang w:val="en-US" w:eastAsia="zh-CN"/>
        </w:rPr>
        <w:t>收集调查问卷等资料，评价数据的来源、采集方式合法合规，确保了数据的准确性和完整性。</w:t>
      </w:r>
    </w:p>
    <w:p w14:paraId="466825D1">
      <w:pPr>
        <w:pStyle w:val="19"/>
        <w:spacing w:line="560" w:lineRule="exact"/>
        <w:ind w:firstLine="640"/>
        <w:rPr>
          <w:rFonts w:hint="default" w:ascii="Times New Roman" w:hAnsi="Times New Roman" w:eastAsia="仿宋_GB2312" w:cs="Times New Roman"/>
          <w:b/>
          <w:bCs/>
          <w:sz w:val="32"/>
          <w:szCs w:val="32"/>
        </w:rPr>
      </w:pPr>
      <w:r>
        <w:rPr>
          <w:rFonts w:hint="eastAsia" w:eastAsia="仿宋_GB2312" w:cs="Times New Roman"/>
          <w:b/>
          <w:bCs/>
          <w:sz w:val="32"/>
          <w:szCs w:val="32"/>
          <w:lang w:val="en-US" w:eastAsia="zh-CN"/>
        </w:rPr>
        <w:t>2</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绩效评价的目的</w:t>
      </w:r>
    </w:p>
    <w:p w14:paraId="15D9B9BD">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0C38747D">
      <w:pPr>
        <w:numPr>
          <w:ilvl w:val="0"/>
          <w:numId w:val="1"/>
        </w:num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6C3ED88D">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（2）项目绩效管理财政支出运行提供及时、有效的信息。</w:t>
      </w:r>
    </w:p>
    <w:p w14:paraId="6D015E5F">
      <w:pPr>
        <w:pStyle w:val="19"/>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A87B86F">
      <w:pPr>
        <w:pStyle w:val="19"/>
        <w:spacing w:line="560" w:lineRule="exact"/>
        <w:ind w:firstLine="640"/>
        <w:rPr>
          <w:rFonts w:hint="default" w:ascii="Times New Roman" w:hAnsi="Times New Roman" w:eastAsia="仿宋_GB2312" w:cs="Times New Roman"/>
          <w:b/>
          <w:bCs/>
          <w:sz w:val="32"/>
          <w:szCs w:val="32"/>
        </w:rPr>
      </w:pPr>
      <w:r>
        <w:rPr>
          <w:rFonts w:hint="eastAsia" w:eastAsia="仿宋_GB2312" w:cs="Times New Roman"/>
          <w:b/>
          <w:bCs/>
          <w:sz w:val="32"/>
          <w:szCs w:val="32"/>
          <w:lang w:val="en-US" w:eastAsia="zh-CN"/>
        </w:rPr>
        <w:t>3</w:t>
      </w:r>
      <w:r>
        <w:rPr>
          <w:rFonts w:hint="default" w:ascii="Times New Roman" w:hAnsi="Times New Roman" w:eastAsia="仿宋_GB2312" w:cs="Times New Roman"/>
          <w:b/>
          <w:bCs/>
          <w:sz w:val="32"/>
          <w:szCs w:val="32"/>
        </w:rPr>
        <w:t>绩效评价的对象</w:t>
      </w:r>
    </w:p>
    <w:p w14:paraId="2964307C">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乌财建[2024]210号关于下达2024年城乡坑震安居工程建设民生实事资金预算的通知项目所包含的全部项目内容。</w:t>
      </w:r>
    </w:p>
    <w:p w14:paraId="65607020">
      <w:pPr>
        <w:pStyle w:val="19"/>
        <w:spacing w:line="560" w:lineRule="exact"/>
        <w:ind w:firstLine="640"/>
        <w:rPr>
          <w:rFonts w:hint="default" w:ascii="Times New Roman" w:hAnsi="Times New Roman" w:eastAsia="仿宋_GB2312" w:cs="Times New Roman"/>
          <w:b/>
          <w:bCs/>
          <w:sz w:val="32"/>
          <w:szCs w:val="32"/>
        </w:rPr>
      </w:pPr>
      <w:r>
        <w:rPr>
          <w:rFonts w:hint="eastAsia" w:eastAsia="仿宋_GB2312" w:cs="Times New Roman"/>
          <w:b/>
          <w:bCs/>
          <w:sz w:val="32"/>
          <w:szCs w:val="32"/>
          <w:lang w:val="en-US" w:eastAsia="zh-CN"/>
        </w:rPr>
        <w:t>4.</w:t>
      </w:r>
      <w:r>
        <w:rPr>
          <w:rFonts w:hint="default" w:ascii="Times New Roman" w:hAnsi="Times New Roman" w:eastAsia="仿宋_GB2312" w:cs="Times New Roman"/>
          <w:b/>
          <w:bCs/>
          <w:sz w:val="32"/>
          <w:szCs w:val="32"/>
        </w:rPr>
        <w:t>绩效评价的范围</w:t>
      </w:r>
    </w:p>
    <w:p w14:paraId="28E43365">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rPr>
        <w:t>时间范围：2024年1月1日至2024年1</w:t>
      </w: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rPr>
        <w:t>月3</w:t>
      </w: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rPr>
        <w:t>日。</w:t>
      </w:r>
    </w:p>
    <w:p w14:paraId="60EE0C49">
      <w:pPr>
        <w:spacing w:line="560" w:lineRule="exact"/>
        <w:ind w:firstLine="640" w:firstLineChars="200"/>
        <w:rPr>
          <w:rFonts w:hint="eastAsia" w:eastAsia="仿宋_GB2312" w:cs="Times New Roman"/>
          <w:sz w:val="32"/>
          <w:szCs w:val="32"/>
          <w:lang w:val="en-US" w:eastAsia="zh-CN"/>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rPr>
        <w:t>项目范围：</w:t>
      </w: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乌财建[2024]210号关于下达2024年城乡坑震安居工程建设民生实事资金预算的通知项目进行评价，评价核心为专项资金的支出完成情况和效果。</w:t>
      </w:r>
      <w:r>
        <w:rPr>
          <w:rFonts w:hint="eastAsia" w:eastAsia="仿宋_GB2312" w:cs="Times New Roman"/>
          <w:sz w:val="32"/>
          <w:szCs w:val="32"/>
          <w:lang w:val="en-US" w:eastAsia="zh-CN"/>
        </w:rPr>
        <w:t>对</w:t>
      </w:r>
      <w:r>
        <w:rPr>
          <w:rFonts w:hint="default" w:ascii="Times New Roman" w:hAnsi="Times New Roman" w:eastAsia="仿宋_GB2312" w:cs="Times New Roman"/>
          <w:sz w:val="32"/>
          <w:szCs w:val="32"/>
          <w:lang w:val="en-US" w:eastAsia="zh-CN"/>
        </w:rPr>
        <w:t>42户牧民越冬放牧点生产用房拆除原有建筑、新建混凝土地坪等，并采用成品房屋吊装方式实施新生产用房</w:t>
      </w:r>
      <w:r>
        <w:rPr>
          <w:rFonts w:hint="eastAsia" w:eastAsia="仿宋_GB2312" w:cs="Times New Roman"/>
          <w:sz w:val="32"/>
          <w:szCs w:val="32"/>
          <w:lang w:val="en-US" w:eastAsia="zh-CN"/>
        </w:rPr>
        <w:t>，提高牧民越冬放牧点用房安全性。</w:t>
      </w:r>
    </w:p>
    <w:p w14:paraId="5C7B1A92">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主要经验：按照年初预算资金项目组织并实施，加强年初预算项目的管理，提高项目资金预算的准确性。榆树沟片区管委会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p>
    <w:p w14:paraId="191DF258">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存在的主要问题：消化2022年暂付款项主要以区级财政投入为主，当前全区重点工作和建设任务较多，区级财政资金压力日益增大。还需要完善内部控制体系建设，建立项目的绩效跟踪机制，对项目执行进情况行督促落实，确保财政资金发挥最大效益。</w:t>
      </w:r>
    </w:p>
    <w:p w14:paraId="2D72ECCF">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w:t>
      </w:r>
      <w:r>
        <w:rPr>
          <w:rFonts w:hint="default" w:ascii="Times New Roman" w:hAnsi="Times New Roman" w:eastAsia="楷体_GB2312" w:cs="Times New Roman"/>
          <w:b/>
          <w:bCs/>
          <w:sz w:val="32"/>
          <w:szCs w:val="32"/>
          <w:lang w:val="en-US" w:eastAsia="zh-CN"/>
        </w:rPr>
        <w:t>附件2</w:t>
      </w:r>
      <w:r>
        <w:rPr>
          <w:rFonts w:hint="default" w:ascii="Times New Roman" w:hAnsi="Times New Roman" w:eastAsia="楷体_GB2312" w:cs="Times New Roman"/>
          <w:b/>
          <w:bCs/>
          <w:sz w:val="32"/>
          <w:szCs w:val="32"/>
        </w:rPr>
        <w:t>）、评价方法、评价标准</w:t>
      </w:r>
    </w:p>
    <w:p w14:paraId="098C8AD8">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绩效评价原则</w:t>
      </w:r>
    </w:p>
    <w:p w14:paraId="2C6031D4">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03F4F265">
      <w:pPr>
        <w:pStyle w:val="8"/>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6E0EFE48">
      <w:pPr>
        <w:pStyle w:val="8"/>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7DD7ECB2">
      <w:pPr>
        <w:pStyle w:val="8"/>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1FD84746">
      <w:pPr>
        <w:pStyle w:val="8"/>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4217F443">
      <w:pPr>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评价指标体系</w:t>
      </w:r>
    </w:p>
    <w:p w14:paraId="18743DC3">
      <w:pPr>
        <w:pStyle w:val="8"/>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eastAsia" w:ascii="Times New Roman" w:hAnsi="Times New Roman" w:eastAsia="仿宋_GB2312" w:cs="Times New Roman"/>
          <w:b w:val="0"/>
          <w:bCs w:val="0"/>
        </w:rPr>
        <w:t>绩效评价指标体系作为衡量绩效目标实现程度的考核工具，一般遵循以下原则：</w:t>
      </w:r>
    </w:p>
    <w:p w14:paraId="4BACF95A">
      <w:pPr>
        <w:pStyle w:val="8"/>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eastAsia" w:ascii="Times New Roman" w:hAnsi="Times New Roman" w:eastAsia="仿宋_GB2312" w:cs="Times New Roman"/>
          <w:b w:val="0"/>
          <w:bCs w:val="0"/>
        </w:rPr>
        <w:t>（1）相关性原则：绩效评价指标应当与绩效目标有直接的联系，能够恰当反映目标的实现程度。</w:t>
      </w:r>
    </w:p>
    <w:p w14:paraId="42882A7C">
      <w:pPr>
        <w:pStyle w:val="8"/>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eastAsia" w:ascii="Times New Roman" w:hAnsi="Times New Roman" w:eastAsia="仿宋_GB2312" w:cs="Times New Roman"/>
          <w:b w:val="0"/>
          <w:bCs w:val="0"/>
        </w:rPr>
        <w:t>（2）重要性原则：应当优先使用最具评价对象代表性、最能反映评价要求的核心指标。</w:t>
      </w:r>
    </w:p>
    <w:p w14:paraId="1A42FC2A">
      <w:pPr>
        <w:pStyle w:val="8"/>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eastAsia" w:ascii="Times New Roman" w:hAnsi="Times New Roman" w:eastAsia="仿宋_GB2312" w:cs="Times New Roman"/>
          <w:b w:val="0"/>
          <w:bCs w:val="0"/>
        </w:rPr>
        <w:t>（3）可比性原则：对同类评价对象要设定共性的绩效评价指标，以便于评价结果可以相互比较。</w:t>
      </w:r>
    </w:p>
    <w:p w14:paraId="4FAED889">
      <w:pPr>
        <w:pStyle w:val="8"/>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eastAsia" w:ascii="Times New Roman" w:hAnsi="Times New Roman" w:eastAsia="仿宋_GB2312" w:cs="Times New Roman"/>
          <w:b w:val="0"/>
          <w:bCs w:val="0"/>
        </w:rPr>
        <w:t>（4）系统性原则：绩效评价指标的设置应当将定量指标与定性指标相结合，能系统反映财政支出所产生的社会效益、经济效益和可持续影响等。</w:t>
      </w:r>
    </w:p>
    <w:p w14:paraId="7DF399C7">
      <w:pPr>
        <w:pStyle w:val="8"/>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eastAsia" w:ascii="Times New Roman" w:hAnsi="Times New Roman" w:eastAsia="仿宋_GB2312" w:cs="Times New Roman"/>
          <w:b w:val="0"/>
          <w:bCs w:val="0"/>
        </w:rPr>
        <w:t>（5）经济性原则：绩效评价指标设计应当通俗易懂、简便易行，数据的获得应当考虑现实条件和可操作性，符合成本效益原则。</w:t>
      </w:r>
    </w:p>
    <w:p w14:paraId="6803FCA2">
      <w:pPr>
        <w:pStyle w:val="8"/>
        <w:spacing w:before="0" w:after="0" w:line="560" w:lineRule="exact"/>
        <w:ind w:firstLine="643" w:firstLineChars="200"/>
        <w:jc w:val="both"/>
        <w:rPr>
          <w:rFonts w:hint="eastAsia" w:ascii="仿宋_GB2312"/>
          <w:highlight w:val="none"/>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ighlight w:val="none"/>
        </w:rPr>
        <w:t>本项目的评价指标体系建立如下表所示。</w:t>
      </w:r>
    </w:p>
    <w:p w14:paraId="0EB0FEE2">
      <w:pPr>
        <w:rPr>
          <w:rFonts w:hint="default"/>
        </w:rPr>
      </w:pPr>
    </w:p>
    <w:p w14:paraId="271764F8">
      <w:pPr>
        <w:rPr>
          <w:rFonts w:hint="default"/>
        </w:rPr>
      </w:pPr>
    </w:p>
    <w:p w14:paraId="7494B36A">
      <w:pPr>
        <w:rPr>
          <w:rFonts w:hint="default"/>
        </w:rPr>
      </w:pPr>
    </w:p>
    <w:p w14:paraId="309CFA8C">
      <w:pPr>
        <w:rPr>
          <w:rFonts w:hint="default"/>
        </w:rPr>
      </w:pPr>
    </w:p>
    <w:p w14:paraId="18B5DB45">
      <w:pPr>
        <w:rPr>
          <w:rFonts w:hint="default"/>
        </w:rPr>
      </w:pPr>
    </w:p>
    <w:p w14:paraId="6284B116">
      <w:pPr>
        <w:pStyle w:val="19"/>
        <w:ind w:firstLine="562"/>
        <w:jc w:val="center"/>
        <w:rPr>
          <w:rFonts w:hint="default" w:ascii="Times New Roman" w:hAnsi="Times New Roman" w:cs="Times New Roman"/>
          <w:b/>
          <w:bCs/>
          <w:sz w:val="28"/>
          <w:szCs w:val="40"/>
        </w:rPr>
        <w:sectPr>
          <w:type w:val="continuous"/>
          <w:pgSz w:w="11906" w:h="16838"/>
          <w:pgMar w:top="1440" w:right="1558" w:bottom="1440" w:left="1800" w:header="851" w:footer="992" w:gutter="0"/>
          <w:cols w:space="425" w:num="1"/>
          <w:docGrid w:type="lines" w:linePitch="312" w:charSpace="0"/>
        </w:sectPr>
      </w:pPr>
    </w:p>
    <w:p w14:paraId="38103BB9">
      <w:pPr>
        <w:pStyle w:val="19"/>
        <w:ind w:firstLine="562"/>
        <w:jc w:val="center"/>
        <w:rPr>
          <w:rFonts w:hint="default" w:ascii="Times New Roman" w:hAnsi="Times New Roman" w:cs="Times New Roman"/>
          <w:sz w:val="28"/>
          <w:szCs w:val="40"/>
          <w:highlight w:val="none"/>
        </w:rPr>
      </w:pPr>
      <w:r>
        <w:rPr>
          <w:rFonts w:hint="default" w:ascii="Times New Roman" w:hAnsi="Times New Roman" w:cs="Times New Roman"/>
          <w:b/>
          <w:bCs/>
          <w:sz w:val="28"/>
          <w:szCs w:val="40"/>
        </w:rPr>
        <w:t>乌财建[2024]210号关于下达2024年城乡坑震安居工程建设民生实事资金预算的通知绩效评价指标体系及综合</w:t>
      </w:r>
      <w:r>
        <w:rPr>
          <w:rFonts w:hint="default" w:ascii="Times New Roman" w:hAnsi="Times New Roman" w:cs="Times New Roman"/>
          <w:b/>
          <w:bCs/>
          <w:sz w:val="28"/>
          <w:szCs w:val="40"/>
          <w:highlight w:val="none"/>
        </w:rPr>
        <w:t>评分表</w:t>
      </w:r>
    </w:p>
    <w:tbl>
      <w:tblPr>
        <w:tblStyle w:val="11"/>
        <w:tblW w:w="4474"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827"/>
        <w:gridCol w:w="764"/>
        <w:gridCol w:w="873"/>
        <w:gridCol w:w="2352"/>
        <w:gridCol w:w="5205"/>
        <w:gridCol w:w="1299"/>
        <w:gridCol w:w="1363"/>
      </w:tblGrid>
      <w:tr w14:paraId="6951553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326" w:type="pct"/>
            <w:shd w:val="clear" w:color="auto" w:fill="FFFFFF"/>
            <w:vAlign w:val="center"/>
          </w:tcPr>
          <w:p w14:paraId="4AFECBB0">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一级指标</w:t>
            </w:r>
          </w:p>
        </w:tc>
        <w:tc>
          <w:tcPr>
            <w:tcW w:w="301" w:type="pct"/>
            <w:shd w:val="clear" w:color="auto" w:fill="FFFFFF"/>
            <w:vAlign w:val="center"/>
          </w:tcPr>
          <w:p w14:paraId="23A82FC9">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二级指标</w:t>
            </w:r>
          </w:p>
        </w:tc>
        <w:tc>
          <w:tcPr>
            <w:tcW w:w="344" w:type="pct"/>
            <w:shd w:val="clear" w:color="auto" w:fill="FFFFFF"/>
            <w:vAlign w:val="center"/>
          </w:tcPr>
          <w:p w14:paraId="021B39EA">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三级指标</w:t>
            </w:r>
          </w:p>
        </w:tc>
        <w:tc>
          <w:tcPr>
            <w:tcW w:w="927" w:type="pct"/>
            <w:shd w:val="clear" w:color="auto" w:fill="FFFFFF"/>
            <w:vAlign w:val="center"/>
          </w:tcPr>
          <w:p w14:paraId="5A1827C0">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指标解释</w:t>
            </w:r>
          </w:p>
        </w:tc>
        <w:tc>
          <w:tcPr>
            <w:tcW w:w="2051" w:type="pct"/>
            <w:shd w:val="clear" w:color="auto" w:fill="FFFFFF"/>
            <w:vAlign w:val="center"/>
          </w:tcPr>
          <w:p w14:paraId="13EC9515">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指标说明</w:t>
            </w:r>
          </w:p>
        </w:tc>
        <w:tc>
          <w:tcPr>
            <w:tcW w:w="512" w:type="pct"/>
            <w:shd w:val="clear" w:color="auto" w:fill="FFFFFF"/>
            <w:vAlign w:val="center"/>
          </w:tcPr>
          <w:p w14:paraId="00C4A70A">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权重</w:t>
            </w:r>
          </w:p>
        </w:tc>
        <w:tc>
          <w:tcPr>
            <w:tcW w:w="537" w:type="pct"/>
            <w:shd w:val="clear" w:color="auto" w:fill="FFFFFF"/>
            <w:vAlign w:val="center"/>
          </w:tcPr>
          <w:p w14:paraId="33DC2F11">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得分</w:t>
            </w:r>
          </w:p>
        </w:tc>
      </w:tr>
      <w:tr w14:paraId="2899362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19" w:hRule="atLeast"/>
          <w:jc w:val="center"/>
        </w:trPr>
        <w:tc>
          <w:tcPr>
            <w:tcW w:w="326" w:type="pct"/>
            <w:vMerge w:val="restart"/>
            <w:shd w:val="clear" w:color="auto" w:fill="FFFFFF"/>
            <w:vAlign w:val="center"/>
          </w:tcPr>
          <w:p w14:paraId="1BEEDFB5">
            <w:pPr>
              <w:widowControl/>
              <w:spacing w:line="0" w:lineRule="atLeast"/>
              <w:jc w:val="center"/>
              <w:rPr>
                <w:rFonts w:hint="default" w:ascii="Times New Roman" w:hAnsi="Times New Roman" w:cs="Times New Roman"/>
                <w:color w:val="000000"/>
                <w:kern w:val="0"/>
                <w:sz w:val="22"/>
                <w:szCs w:val="22"/>
                <w:highlight w:val="none"/>
              </w:rPr>
            </w:pPr>
          </w:p>
          <w:p w14:paraId="0BBF885F">
            <w:pPr>
              <w:widowControl/>
              <w:spacing w:line="0" w:lineRule="atLeast"/>
              <w:jc w:val="center"/>
              <w:rPr>
                <w:rFonts w:hint="default" w:ascii="Times New Roman" w:hAnsi="Times New Roman" w:cs="Times New Roman"/>
                <w:color w:val="000000"/>
                <w:kern w:val="0"/>
                <w:sz w:val="22"/>
                <w:szCs w:val="22"/>
                <w:highlight w:val="none"/>
              </w:rPr>
            </w:pPr>
          </w:p>
          <w:p w14:paraId="1484C285">
            <w:pPr>
              <w:widowControl/>
              <w:spacing w:line="0" w:lineRule="atLeast"/>
              <w:jc w:val="center"/>
              <w:rPr>
                <w:rFonts w:hint="default" w:ascii="Times New Roman" w:hAnsi="Times New Roman" w:cs="Times New Roman"/>
                <w:color w:val="000000"/>
                <w:kern w:val="0"/>
                <w:sz w:val="22"/>
                <w:szCs w:val="22"/>
                <w:highlight w:val="none"/>
              </w:rPr>
            </w:pPr>
          </w:p>
          <w:p w14:paraId="7B4C811E">
            <w:pPr>
              <w:widowControl/>
              <w:spacing w:line="0" w:lineRule="atLeast"/>
              <w:jc w:val="center"/>
              <w:rPr>
                <w:rFonts w:hint="default" w:ascii="Times New Roman" w:hAnsi="Times New Roman" w:cs="Times New Roman"/>
                <w:color w:val="000000"/>
                <w:kern w:val="0"/>
                <w:sz w:val="22"/>
                <w:szCs w:val="22"/>
                <w:highlight w:val="none"/>
              </w:rPr>
            </w:pPr>
          </w:p>
          <w:p w14:paraId="5AFA3E3D">
            <w:pPr>
              <w:widowControl/>
              <w:spacing w:line="0" w:lineRule="atLeast"/>
              <w:jc w:val="center"/>
              <w:rPr>
                <w:rFonts w:hint="default" w:ascii="Times New Roman" w:hAnsi="Times New Roman" w:cs="Times New Roman"/>
                <w:color w:val="000000"/>
                <w:kern w:val="0"/>
                <w:sz w:val="22"/>
                <w:szCs w:val="22"/>
                <w:highlight w:val="none"/>
              </w:rPr>
            </w:pPr>
          </w:p>
          <w:p w14:paraId="3B00FE80">
            <w:pPr>
              <w:widowControl/>
              <w:spacing w:line="0" w:lineRule="atLeast"/>
              <w:jc w:val="center"/>
              <w:rPr>
                <w:rFonts w:hint="default" w:ascii="Times New Roman" w:hAnsi="Times New Roman" w:cs="Times New Roman"/>
                <w:color w:val="000000"/>
                <w:kern w:val="0"/>
                <w:sz w:val="22"/>
                <w:szCs w:val="22"/>
                <w:highlight w:val="none"/>
              </w:rPr>
            </w:pPr>
          </w:p>
          <w:p w14:paraId="639C3B71">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决策　</w:t>
            </w:r>
          </w:p>
        </w:tc>
        <w:tc>
          <w:tcPr>
            <w:tcW w:w="301" w:type="pct"/>
            <w:vMerge w:val="restart"/>
            <w:shd w:val="clear" w:color="auto" w:fill="FFFFFF"/>
            <w:vAlign w:val="center"/>
          </w:tcPr>
          <w:p w14:paraId="6083740C">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项目立项　</w:t>
            </w:r>
          </w:p>
        </w:tc>
        <w:tc>
          <w:tcPr>
            <w:tcW w:w="344" w:type="pct"/>
            <w:shd w:val="clear" w:color="auto" w:fill="FFFFFF"/>
            <w:vAlign w:val="center"/>
          </w:tcPr>
          <w:p w14:paraId="39B4160D">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立项依据</w:t>
            </w:r>
          </w:p>
          <w:p w14:paraId="4F1B574F">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充分性</w:t>
            </w:r>
          </w:p>
        </w:tc>
        <w:tc>
          <w:tcPr>
            <w:tcW w:w="927" w:type="pct"/>
            <w:shd w:val="clear" w:color="auto" w:fill="FFFFFF"/>
            <w:vAlign w:val="center"/>
          </w:tcPr>
          <w:p w14:paraId="370E55FF">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项目立项是否符合法律法规、相关政策、发展规划以及部门职责，用以反映和考核项目立项依据情况。</w:t>
            </w:r>
          </w:p>
        </w:tc>
        <w:tc>
          <w:tcPr>
            <w:tcW w:w="2051" w:type="pct"/>
            <w:shd w:val="clear" w:color="auto" w:fill="FFFFFF"/>
            <w:vAlign w:val="center"/>
          </w:tcPr>
          <w:p w14:paraId="5C512575">
            <w:pPr>
              <w:widowControl/>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①项目立项是否符合国家法律法规、国民经济发展规划和相关政策；</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②项目立项是否符合行业发展规划和政策要求；</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③项目立项是否与部门职责范围相符，</w:t>
            </w:r>
            <w:r>
              <w:rPr>
                <w:rFonts w:hint="default" w:ascii="Times New Roman" w:hAnsi="Times New Roman" w:cs="Times New Roman"/>
                <w:color w:val="000000"/>
                <w:kern w:val="0"/>
                <w:sz w:val="22"/>
                <w:szCs w:val="22"/>
                <w:highlight w:val="none"/>
                <w:lang w:val="en-US" w:eastAsia="zh-CN"/>
              </w:rPr>
              <w:t>属于部门</w:t>
            </w:r>
            <w:r>
              <w:rPr>
                <w:rFonts w:hint="default" w:ascii="Times New Roman" w:hAnsi="Times New Roman" w:cs="Times New Roman"/>
                <w:color w:val="000000"/>
                <w:kern w:val="0"/>
                <w:sz w:val="22"/>
                <w:szCs w:val="22"/>
                <w:highlight w:val="none"/>
              </w:rPr>
              <w:t>履职所需；</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④项目是否属于公共财政支持范围，是否符合中央、地方事权支出责任划分原则；</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⑤项目是否与相关部门同类项目或部门内部相关项目重复。</w:t>
            </w:r>
          </w:p>
        </w:tc>
        <w:tc>
          <w:tcPr>
            <w:tcW w:w="512" w:type="pct"/>
            <w:shd w:val="clear" w:color="auto" w:fill="FFFFFF"/>
            <w:vAlign w:val="center"/>
          </w:tcPr>
          <w:p w14:paraId="29804449">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3</w:t>
            </w:r>
          </w:p>
        </w:tc>
        <w:tc>
          <w:tcPr>
            <w:tcW w:w="537" w:type="pct"/>
            <w:shd w:val="clear" w:color="auto" w:fill="FFFFFF"/>
            <w:vAlign w:val="center"/>
          </w:tcPr>
          <w:p w14:paraId="7022AF8E">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cs="Times New Roman"/>
                <w:b/>
                <w:bCs/>
                <w:color w:val="000000"/>
                <w:kern w:val="0"/>
                <w:sz w:val="22"/>
                <w:szCs w:val="22"/>
                <w:highlight w:val="none"/>
                <w:lang w:val="en-US" w:eastAsia="zh-CN"/>
              </w:rPr>
              <w:t>3</w:t>
            </w:r>
          </w:p>
        </w:tc>
      </w:tr>
      <w:tr w14:paraId="042CA5A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326" w:type="pct"/>
            <w:vMerge w:val="continue"/>
            <w:shd w:val="clear" w:color="auto" w:fill="FFFFFF"/>
            <w:vAlign w:val="center"/>
          </w:tcPr>
          <w:p w14:paraId="1A939B83">
            <w:pPr>
              <w:spacing w:line="0" w:lineRule="atLeast"/>
              <w:jc w:val="center"/>
              <w:rPr>
                <w:rFonts w:hint="default" w:ascii="Times New Roman" w:hAnsi="Times New Roman" w:cs="Times New Roman"/>
                <w:color w:val="000000"/>
                <w:kern w:val="0"/>
                <w:sz w:val="22"/>
                <w:szCs w:val="22"/>
                <w:highlight w:val="none"/>
              </w:rPr>
            </w:pPr>
          </w:p>
        </w:tc>
        <w:tc>
          <w:tcPr>
            <w:tcW w:w="301" w:type="pct"/>
            <w:vMerge w:val="continue"/>
            <w:shd w:val="clear" w:color="auto" w:fill="FFFFFF"/>
            <w:vAlign w:val="center"/>
          </w:tcPr>
          <w:p w14:paraId="6E9EEC96">
            <w:pPr>
              <w:widowControl/>
              <w:spacing w:line="0" w:lineRule="atLeast"/>
              <w:jc w:val="center"/>
              <w:rPr>
                <w:rFonts w:hint="default" w:ascii="Times New Roman" w:hAnsi="Times New Roman" w:cs="Times New Roman"/>
                <w:color w:val="000000"/>
                <w:kern w:val="0"/>
                <w:sz w:val="22"/>
                <w:szCs w:val="22"/>
                <w:highlight w:val="none"/>
              </w:rPr>
            </w:pPr>
          </w:p>
        </w:tc>
        <w:tc>
          <w:tcPr>
            <w:tcW w:w="344" w:type="pct"/>
            <w:shd w:val="clear" w:color="auto" w:fill="FFFFFF"/>
            <w:vAlign w:val="center"/>
          </w:tcPr>
          <w:p w14:paraId="33550160">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立项程序</w:t>
            </w:r>
          </w:p>
          <w:p w14:paraId="7D053BAA">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规范性</w:t>
            </w:r>
          </w:p>
        </w:tc>
        <w:tc>
          <w:tcPr>
            <w:tcW w:w="927" w:type="pct"/>
            <w:shd w:val="clear" w:color="auto" w:fill="FFFFFF"/>
            <w:vAlign w:val="center"/>
          </w:tcPr>
          <w:p w14:paraId="11054806">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项目申请、设立过程是否符合相关要求，用以反映和考核项目立项的规范情况。</w:t>
            </w:r>
          </w:p>
        </w:tc>
        <w:tc>
          <w:tcPr>
            <w:tcW w:w="2051" w:type="pct"/>
            <w:shd w:val="clear" w:color="auto" w:fill="FFFFFF"/>
            <w:vAlign w:val="center"/>
          </w:tcPr>
          <w:p w14:paraId="5D01F22D">
            <w:pPr>
              <w:widowControl/>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①项目是否按照规定的程序申请设立；</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②审批文件、材料是否符合相关要求；</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③事前是否已经过必要的可行性研究、专家论证、风险评估、绩效评估、集体决策。</w:t>
            </w:r>
          </w:p>
        </w:tc>
        <w:tc>
          <w:tcPr>
            <w:tcW w:w="512" w:type="pct"/>
            <w:shd w:val="clear" w:color="auto" w:fill="FFFFFF"/>
            <w:vAlign w:val="center"/>
          </w:tcPr>
          <w:p w14:paraId="0EC590FA">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3</w:t>
            </w:r>
          </w:p>
        </w:tc>
        <w:tc>
          <w:tcPr>
            <w:tcW w:w="537" w:type="pct"/>
            <w:shd w:val="clear" w:color="auto" w:fill="FFFFFF"/>
            <w:vAlign w:val="center"/>
          </w:tcPr>
          <w:p w14:paraId="5F729F3D">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eastAsia" w:cs="Times New Roman"/>
                <w:b/>
                <w:bCs/>
                <w:color w:val="000000"/>
                <w:kern w:val="0"/>
                <w:sz w:val="22"/>
                <w:szCs w:val="22"/>
                <w:highlight w:val="none"/>
                <w:lang w:val="en-US" w:eastAsia="zh-CN"/>
              </w:rPr>
              <w:t>3</w:t>
            </w:r>
          </w:p>
        </w:tc>
      </w:tr>
      <w:tr w14:paraId="47CBBD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326" w:type="pct"/>
            <w:vMerge w:val="continue"/>
            <w:shd w:val="clear" w:color="auto" w:fill="FFFFFF"/>
            <w:vAlign w:val="center"/>
          </w:tcPr>
          <w:p w14:paraId="79BDF5C3">
            <w:pPr>
              <w:spacing w:line="0" w:lineRule="atLeast"/>
              <w:jc w:val="center"/>
              <w:rPr>
                <w:rFonts w:hint="default" w:ascii="Times New Roman" w:hAnsi="Times New Roman" w:cs="Times New Roman"/>
                <w:color w:val="000000"/>
                <w:kern w:val="0"/>
                <w:sz w:val="22"/>
                <w:szCs w:val="22"/>
                <w:highlight w:val="none"/>
              </w:rPr>
            </w:pPr>
          </w:p>
        </w:tc>
        <w:tc>
          <w:tcPr>
            <w:tcW w:w="301" w:type="pct"/>
            <w:vMerge w:val="restart"/>
            <w:shd w:val="clear" w:color="auto" w:fill="FFFFFF"/>
            <w:vAlign w:val="center"/>
          </w:tcPr>
          <w:p w14:paraId="265693F2">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绩效目标　</w:t>
            </w:r>
          </w:p>
        </w:tc>
        <w:tc>
          <w:tcPr>
            <w:tcW w:w="344" w:type="pct"/>
            <w:shd w:val="clear" w:color="auto" w:fill="FFFFFF"/>
            <w:vAlign w:val="center"/>
          </w:tcPr>
          <w:p w14:paraId="2A7BA490">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绩效目标</w:t>
            </w:r>
          </w:p>
          <w:p w14:paraId="1645A8B0">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合理性</w:t>
            </w:r>
          </w:p>
        </w:tc>
        <w:tc>
          <w:tcPr>
            <w:tcW w:w="927" w:type="pct"/>
            <w:shd w:val="clear" w:color="000000" w:fill="FFFFFF"/>
            <w:vAlign w:val="center"/>
          </w:tcPr>
          <w:p w14:paraId="021E6647">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项目所设定的绩效目标是否依据充分，是否符合客观实际，用以反映和考核项目绩效目标与项目实施的相符情况。</w:t>
            </w:r>
          </w:p>
        </w:tc>
        <w:tc>
          <w:tcPr>
            <w:tcW w:w="2051" w:type="pct"/>
            <w:shd w:val="clear" w:color="000000" w:fill="FFFFFF"/>
            <w:vAlign w:val="center"/>
          </w:tcPr>
          <w:p w14:paraId="3B5B65F1">
            <w:pPr>
              <w:widowControl/>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（如未设定预算绩效目标，也可考核其他工作任务目标）</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①项目是否有绩效目标；</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②项目绩效目标与实际工作内容是否具有相关性；</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③项目预期产出效益和效果是否符合正常的业绩水平；</w:t>
            </w:r>
          </w:p>
          <w:p w14:paraId="6DD79E83">
            <w:pPr>
              <w:widowControl/>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④是否与预算确定的项目投资额或资金量相匹配。</w:t>
            </w:r>
          </w:p>
        </w:tc>
        <w:tc>
          <w:tcPr>
            <w:tcW w:w="512" w:type="pct"/>
            <w:shd w:val="clear" w:color="000000" w:fill="FFFFFF"/>
            <w:vAlign w:val="center"/>
          </w:tcPr>
          <w:p w14:paraId="45850AB7">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3</w:t>
            </w:r>
          </w:p>
        </w:tc>
        <w:tc>
          <w:tcPr>
            <w:tcW w:w="537" w:type="pct"/>
            <w:shd w:val="clear" w:color="000000" w:fill="FFFFFF"/>
            <w:vAlign w:val="center"/>
          </w:tcPr>
          <w:p w14:paraId="60C52862">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cs="Times New Roman"/>
                <w:b/>
                <w:bCs/>
                <w:color w:val="000000"/>
                <w:kern w:val="0"/>
                <w:sz w:val="22"/>
                <w:szCs w:val="22"/>
                <w:highlight w:val="none"/>
                <w:lang w:val="en-US" w:eastAsia="zh-CN"/>
              </w:rPr>
              <w:t>3</w:t>
            </w:r>
          </w:p>
        </w:tc>
      </w:tr>
      <w:tr w14:paraId="11C1038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326" w:type="pct"/>
            <w:vMerge w:val="continue"/>
            <w:shd w:val="clear" w:color="auto" w:fill="FFFFFF"/>
            <w:vAlign w:val="center"/>
          </w:tcPr>
          <w:p w14:paraId="6BFE0B77">
            <w:pPr>
              <w:widowControl/>
              <w:spacing w:line="0" w:lineRule="atLeast"/>
              <w:jc w:val="center"/>
              <w:rPr>
                <w:rFonts w:hint="default" w:ascii="Times New Roman" w:hAnsi="Times New Roman" w:cs="Times New Roman"/>
                <w:color w:val="000000"/>
                <w:kern w:val="0"/>
                <w:sz w:val="22"/>
                <w:szCs w:val="22"/>
                <w:highlight w:val="none"/>
              </w:rPr>
            </w:pPr>
          </w:p>
        </w:tc>
        <w:tc>
          <w:tcPr>
            <w:tcW w:w="301" w:type="pct"/>
            <w:vMerge w:val="continue"/>
            <w:shd w:val="clear" w:color="auto" w:fill="FFFFFF"/>
            <w:vAlign w:val="center"/>
          </w:tcPr>
          <w:p w14:paraId="4EA17010">
            <w:pPr>
              <w:widowControl/>
              <w:spacing w:line="0" w:lineRule="atLeast"/>
              <w:jc w:val="center"/>
              <w:rPr>
                <w:rFonts w:hint="default" w:ascii="Times New Roman" w:hAnsi="Times New Roman" w:cs="Times New Roman"/>
                <w:color w:val="000000"/>
                <w:kern w:val="0"/>
                <w:sz w:val="22"/>
                <w:szCs w:val="22"/>
                <w:highlight w:val="none"/>
              </w:rPr>
            </w:pPr>
          </w:p>
        </w:tc>
        <w:tc>
          <w:tcPr>
            <w:tcW w:w="344" w:type="pct"/>
            <w:shd w:val="clear" w:color="auto" w:fill="FFFFFF"/>
            <w:vAlign w:val="center"/>
          </w:tcPr>
          <w:p w14:paraId="70BF8F0D">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绩效指标</w:t>
            </w:r>
          </w:p>
          <w:p w14:paraId="5F85A409">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明确性</w:t>
            </w:r>
          </w:p>
        </w:tc>
        <w:tc>
          <w:tcPr>
            <w:tcW w:w="927" w:type="pct"/>
            <w:shd w:val="clear" w:color="000000" w:fill="FFFFFF"/>
            <w:vAlign w:val="center"/>
          </w:tcPr>
          <w:p w14:paraId="1ED2F3C4">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依据绩效目标设定的绩效指标是否清晰、细化、可衡量等，用以反映和考核项目绩效目标的明细化情况。</w:t>
            </w:r>
          </w:p>
        </w:tc>
        <w:tc>
          <w:tcPr>
            <w:tcW w:w="2051" w:type="pct"/>
            <w:shd w:val="clear" w:color="000000" w:fill="FFFFFF"/>
            <w:vAlign w:val="center"/>
          </w:tcPr>
          <w:p w14:paraId="2AE32F51">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①是否将项目绩效目标细化分解为具体的绩效指标；</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②是否通过清晰、可衡量的指标值予以体现；</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③是否与项目目标任务数或计划数相对应。</w:t>
            </w:r>
            <w:r>
              <w:rPr>
                <w:rFonts w:hint="default" w:ascii="Times New Roman" w:hAnsi="Times New Roman" w:cs="Times New Roman"/>
                <w:color w:val="000000"/>
                <w:kern w:val="0"/>
                <w:sz w:val="22"/>
                <w:szCs w:val="22"/>
                <w:highlight w:val="none"/>
              </w:rPr>
              <w:br w:type="textWrapping"/>
            </w:r>
          </w:p>
        </w:tc>
        <w:tc>
          <w:tcPr>
            <w:tcW w:w="512" w:type="pct"/>
            <w:shd w:val="clear" w:color="000000" w:fill="FFFFFF"/>
            <w:vAlign w:val="center"/>
          </w:tcPr>
          <w:p w14:paraId="4077FE6D">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3</w:t>
            </w:r>
          </w:p>
        </w:tc>
        <w:tc>
          <w:tcPr>
            <w:tcW w:w="537" w:type="pct"/>
            <w:shd w:val="clear" w:color="000000" w:fill="FFFFFF"/>
            <w:vAlign w:val="center"/>
          </w:tcPr>
          <w:p w14:paraId="6A7F49BF">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cs="Times New Roman"/>
                <w:b/>
                <w:bCs/>
                <w:color w:val="000000"/>
                <w:kern w:val="0"/>
                <w:sz w:val="22"/>
                <w:szCs w:val="22"/>
                <w:highlight w:val="none"/>
                <w:lang w:val="en-US" w:eastAsia="zh-CN"/>
              </w:rPr>
              <w:t>3</w:t>
            </w:r>
          </w:p>
        </w:tc>
      </w:tr>
      <w:tr w14:paraId="34DCAC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326" w:type="pct"/>
            <w:vMerge w:val="continue"/>
            <w:shd w:val="clear" w:color="auto" w:fill="FFFFFF"/>
            <w:vAlign w:val="center"/>
          </w:tcPr>
          <w:p w14:paraId="6F23281C">
            <w:pPr>
              <w:spacing w:line="0" w:lineRule="atLeast"/>
              <w:jc w:val="center"/>
              <w:rPr>
                <w:rFonts w:hint="default" w:ascii="Times New Roman" w:hAnsi="Times New Roman" w:cs="Times New Roman"/>
                <w:color w:val="000000"/>
                <w:kern w:val="0"/>
                <w:sz w:val="22"/>
                <w:szCs w:val="22"/>
                <w:highlight w:val="none"/>
              </w:rPr>
            </w:pPr>
          </w:p>
        </w:tc>
        <w:tc>
          <w:tcPr>
            <w:tcW w:w="301" w:type="pct"/>
            <w:vMerge w:val="restart"/>
            <w:shd w:val="clear" w:color="auto" w:fill="FFFFFF"/>
            <w:vAlign w:val="center"/>
          </w:tcPr>
          <w:p w14:paraId="513799CB">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资金投入</w:t>
            </w:r>
          </w:p>
          <w:p w14:paraId="71F8C69A">
            <w:pP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　</w:t>
            </w:r>
          </w:p>
        </w:tc>
        <w:tc>
          <w:tcPr>
            <w:tcW w:w="344" w:type="pct"/>
            <w:shd w:val="clear" w:color="auto" w:fill="FFFFFF"/>
            <w:vAlign w:val="center"/>
          </w:tcPr>
          <w:p w14:paraId="388B0D59">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预算编制</w:t>
            </w:r>
          </w:p>
          <w:p w14:paraId="4E254523">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科学性</w:t>
            </w:r>
          </w:p>
        </w:tc>
        <w:tc>
          <w:tcPr>
            <w:tcW w:w="927" w:type="pct"/>
            <w:shd w:val="clear" w:color="auto" w:fill="FFFFFF"/>
            <w:vAlign w:val="center"/>
          </w:tcPr>
          <w:p w14:paraId="2A4D2BE9">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项目预算编制是否经过科学论证、有明确标准，资金额度与年度目标是否相适应，用以反映和考核项目预算编制的科学性、合理性情况。</w:t>
            </w:r>
          </w:p>
        </w:tc>
        <w:tc>
          <w:tcPr>
            <w:tcW w:w="2051" w:type="pct"/>
            <w:shd w:val="clear" w:color="auto" w:fill="FFFFFF"/>
            <w:vAlign w:val="center"/>
          </w:tcPr>
          <w:p w14:paraId="1421C00C">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①预算编制是否经过科学论证；</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②预算内容与项目内容是否匹配；</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③预算额度测算依据是否充分，是否按照标准编制；</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④预算确定的项目投资额或资金量是否与工作任务相匹配。</w:t>
            </w:r>
          </w:p>
        </w:tc>
        <w:tc>
          <w:tcPr>
            <w:tcW w:w="512" w:type="pct"/>
            <w:shd w:val="clear" w:color="auto" w:fill="FFFFFF"/>
            <w:vAlign w:val="center"/>
          </w:tcPr>
          <w:p w14:paraId="0144299D">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537" w:type="pct"/>
            <w:shd w:val="clear" w:color="auto" w:fill="FFFFFF"/>
            <w:vAlign w:val="center"/>
          </w:tcPr>
          <w:p w14:paraId="3C304139">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cs="Times New Roman"/>
                <w:b/>
                <w:bCs/>
                <w:color w:val="000000"/>
                <w:kern w:val="0"/>
                <w:sz w:val="22"/>
                <w:szCs w:val="22"/>
                <w:highlight w:val="none"/>
                <w:lang w:val="en-US" w:eastAsia="zh-CN"/>
              </w:rPr>
              <w:t>4</w:t>
            </w:r>
          </w:p>
        </w:tc>
      </w:tr>
      <w:tr w14:paraId="253C8D0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326" w:type="pct"/>
            <w:vMerge w:val="continue"/>
            <w:shd w:val="clear" w:color="auto" w:fill="FFFFFF"/>
            <w:vAlign w:val="center"/>
          </w:tcPr>
          <w:p w14:paraId="1B9DC89A">
            <w:pPr>
              <w:widowControl/>
              <w:spacing w:line="0" w:lineRule="atLeast"/>
              <w:jc w:val="center"/>
              <w:rPr>
                <w:rFonts w:hint="default" w:ascii="Times New Roman" w:hAnsi="Times New Roman" w:cs="Times New Roman"/>
                <w:color w:val="000000"/>
                <w:kern w:val="0"/>
                <w:sz w:val="22"/>
                <w:szCs w:val="22"/>
                <w:highlight w:val="none"/>
              </w:rPr>
            </w:pPr>
          </w:p>
        </w:tc>
        <w:tc>
          <w:tcPr>
            <w:tcW w:w="301" w:type="pct"/>
            <w:vMerge w:val="continue"/>
            <w:shd w:val="clear" w:color="auto" w:fill="FFFFFF"/>
            <w:vAlign w:val="center"/>
          </w:tcPr>
          <w:p w14:paraId="63BE66ED">
            <w:pPr>
              <w:widowControl/>
              <w:spacing w:line="0" w:lineRule="atLeast"/>
              <w:jc w:val="center"/>
              <w:rPr>
                <w:rFonts w:hint="default" w:ascii="Times New Roman" w:hAnsi="Times New Roman" w:cs="Times New Roman"/>
                <w:color w:val="000000"/>
                <w:kern w:val="0"/>
                <w:sz w:val="22"/>
                <w:szCs w:val="22"/>
                <w:highlight w:val="none"/>
              </w:rPr>
            </w:pPr>
          </w:p>
        </w:tc>
        <w:tc>
          <w:tcPr>
            <w:tcW w:w="344" w:type="pct"/>
            <w:shd w:val="clear" w:color="auto" w:fill="FFFFFF"/>
            <w:vAlign w:val="center"/>
          </w:tcPr>
          <w:p w14:paraId="7826450C">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资金分配</w:t>
            </w:r>
          </w:p>
          <w:p w14:paraId="3FFC6267">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合理性</w:t>
            </w:r>
          </w:p>
        </w:tc>
        <w:tc>
          <w:tcPr>
            <w:tcW w:w="927" w:type="pct"/>
            <w:shd w:val="clear" w:color="auto" w:fill="FFFFFF"/>
            <w:vAlign w:val="center"/>
          </w:tcPr>
          <w:p w14:paraId="4B2B4146">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项目预算资金分配是否有测算依据，与补助单位或地方实际是否相适应，用以反映和考核项目预算资金分配的科学性、合理性情况。</w:t>
            </w:r>
          </w:p>
        </w:tc>
        <w:tc>
          <w:tcPr>
            <w:tcW w:w="2051" w:type="pct"/>
            <w:shd w:val="clear" w:color="auto" w:fill="FFFFFF"/>
            <w:vAlign w:val="center"/>
          </w:tcPr>
          <w:p w14:paraId="1293533F">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①预算资金分配依据是否充分；</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②资金分配额度是否合理，与项目单位或地方实际是否相适应。</w:t>
            </w:r>
          </w:p>
        </w:tc>
        <w:tc>
          <w:tcPr>
            <w:tcW w:w="512" w:type="pct"/>
            <w:shd w:val="clear" w:color="auto" w:fill="FFFFFF"/>
            <w:vAlign w:val="center"/>
          </w:tcPr>
          <w:p w14:paraId="03AC5802">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eastAsia" w:cs="Times New Roman"/>
                <w:b/>
                <w:bCs/>
                <w:color w:val="000000"/>
                <w:kern w:val="0"/>
                <w:sz w:val="22"/>
                <w:szCs w:val="22"/>
                <w:highlight w:val="none"/>
                <w:lang w:val="en-US" w:eastAsia="zh-CN"/>
              </w:rPr>
              <w:t>4</w:t>
            </w:r>
          </w:p>
        </w:tc>
        <w:tc>
          <w:tcPr>
            <w:tcW w:w="537" w:type="pct"/>
            <w:shd w:val="clear" w:color="auto" w:fill="FFFFFF"/>
            <w:vAlign w:val="center"/>
          </w:tcPr>
          <w:p w14:paraId="5546D36C">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eastAsia" w:cs="Times New Roman"/>
                <w:b/>
                <w:bCs/>
                <w:color w:val="000000"/>
                <w:kern w:val="0"/>
                <w:sz w:val="22"/>
                <w:szCs w:val="22"/>
                <w:highlight w:val="none"/>
                <w:lang w:val="en-US" w:eastAsia="zh-CN"/>
              </w:rPr>
              <w:t>4</w:t>
            </w:r>
          </w:p>
        </w:tc>
      </w:tr>
      <w:tr w14:paraId="56343FF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326" w:type="pct"/>
            <w:vMerge w:val="restart"/>
            <w:shd w:val="clear" w:color="auto" w:fill="FFFFFF"/>
            <w:vAlign w:val="center"/>
          </w:tcPr>
          <w:p w14:paraId="6D793508">
            <w:pPr>
              <w:spacing w:line="0" w:lineRule="atLeast"/>
              <w:jc w:val="center"/>
              <w:rPr>
                <w:rFonts w:hint="default" w:ascii="Times New Roman" w:hAnsi="Times New Roman" w:cs="Times New Roman"/>
                <w:color w:val="000000"/>
                <w:kern w:val="0"/>
                <w:sz w:val="22"/>
                <w:szCs w:val="22"/>
                <w:highlight w:val="none"/>
              </w:rPr>
            </w:pPr>
          </w:p>
          <w:p w14:paraId="4C9C883C">
            <w:pPr>
              <w:spacing w:line="0" w:lineRule="atLeast"/>
              <w:jc w:val="center"/>
              <w:rPr>
                <w:rFonts w:hint="default" w:ascii="Times New Roman" w:hAnsi="Times New Roman" w:cs="Times New Roman"/>
                <w:color w:val="000000"/>
                <w:kern w:val="0"/>
                <w:sz w:val="22"/>
                <w:szCs w:val="22"/>
                <w:highlight w:val="none"/>
              </w:rPr>
            </w:pPr>
          </w:p>
          <w:p w14:paraId="4CEAF2C3">
            <w:pPr>
              <w:spacing w:line="0" w:lineRule="atLeast"/>
              <w:jc w:val="center"/>
              <w:rPr>
                <w:rFonts w:hint="default" w:ascii="Times New Roman" w:hAnsi="Times New Roman" w:cs="Times New Roman"/>
                <w:color w:val="000000"/>
                <w:kern w:val="0"/>
                <w:sz w:val="22"/>
                <w:szCs w:val="22"/>
                <w:highlight w:val="none"/>
              </w:rPr>
            </w:pPr>
          </w:p>
          <w:p w14:paraId="43AC7EFF">
            <w:pPr>
              <w:spacing w:line="0" w:lineRule="atLeast"/>
              <w:jc w:val="center"/>
              <w:rPr>
                <w:rFonts w:hint="default" w:ascii="Times New Roman" w:hAnsi="Times New Roman" w:cs="Times New Roman"/>
                <w:color w:val="000000"/>
                <w:kern w:val="0"/>
                <w:sz w:val="22"/>
                <w:szCs w:val="22"/>
                <w:highlight w:val="none"/>
              </w:rPr>
            </w:pPr>
          </w:p>
          <w:p w14:paraId="11E90F8D">
            <w:pPr>
              <w:spacing w:line="0" w:lineRule="atLeast"/>
              <w:jc w:val="center"/>
              <w:rPr>
                <w:rFonts w:hint="default" w:ascii="Times New Roman" w:hAnsi="Times New Roman" w:cs="Times New Roman"/>
                <w:color w:val="000000"/>
                <w:kern w:val="0"/>
                <w:sz w:val="22"/>
                <w:szCs w:val="22"/>
                <w:highlight w:val="none"/>
              </w:rPr>
            </w:pPr>
          </w:p>
          <w:p w14:paraId="3A868C30">
            <w:pPr>
              <w:spacing w:line="0" w:lineRule="atLeast"/>
              <w:jc w:val="center"/>
              <w:rPr>
                <w:rFonts w:hint="default" w:ascii="Times New Roman" w:hAnsi="Times New Roman" w:cs="Times New Roman"/>
                <w:color w:val="000000"/>
                <w:kern w:val="0"/>
                <w:sz w:val="22"/>
                <w:szCs w:val="22"/>
                <w:highlight w:val="none"/>
              </w:rPr>
            </w:pPr>
          </w:p>
          <w:p w14:paraId="2428F17F">
            <w:pPr>
              <w:spacing w:line="0" w:lineRule="atLeast"/>
              <w:jc w:val="center"/>
              <w:rPr>
                <w:rFonts w:hint="default" w:ascii="Times New Roman" w:hAnsi="Times New Roman" w:cs="Times New Roman"/>
                <w:color w:val="000000"/>
                <w:kern w:val="0"/>
                <w:sz w:val="22"/>
                <w:szCs w:val="22"/>
                <w:highlight w:val="none"/>
              </w:rPr>
            </w:pPr>
          </w:p>
          <w:p w14:paraId="053FD818">
            <w:pPr>
              <w:spacing w:line="0" w:lineRule="atLeast"/>
              <w:jc w:val="center"/>
              <w:rPr>
                <w:rFonts w:hint="default" w:ascii="Times New Roman" w:hAnsi="Times New Roman" w:cs="Times New Roman"/>
                <w:color w:val="000000"/>
                <w:kern w:val="0"/>
                <w:sz w:val="22"/>
                <w:szCs w:val="22"/>
                <w:highlight w:val="none"/>
              </w:rPr>
            </w:pPr>
          </w:p>
          <w:p w14:paraId="1B858C79">
            <w:pPr>
              <w:spacing w:line="0" w:lineRule="atLeast"/>
              <w:jc w:val="center"/>
              <w:rPr>
                <w:rFonts w:hint="default" w:ascii="Times New Roman" w:hAnsi="Times New Roman" w:cs="Times New Roman"/>
                <w:color w:val="000000"/>
                <w:kern w:val="0"/>
                <w:sz w:val="22"/>
                <w:szCs w:val="22"/>
                <w:highlight w:val="none"/>
              </w:rPr>
            </w:pPr>
          </w:p>
          <w:p w14:paraId="292CEB81">
            <w:pPr>
              <w:spacing w:line="0" w:lineRule="atLeast"/>
              <w:jc w:val="center"/>
              <w:rPr>
                <w:rFonts w:hint="default" w:ascii="Times New Roman" w:hAnsi="Times New Roman" w:cs="Times New Roman"/>
                <w:color w:val="000000"/>
                <w:kern w:val="0"/>
                <w:sz w:val="22"/>
                <w:szCs w:val="22"/>
                <w:highlight w:val="none"/>
              </w:rPr>
            </w:pPr>
          </w:p>
          <w:p w14:paraId="13148D22">
            <w:pPr>
              <w:spacing w:line="0" w:lineRule="atLeast"/>
              <w:jc w:val="center"/>
              <w:rPr>
                <w:rFonts w:hint="default" w:ascii="Times New Roman" w:hAnsi="Times New Roman" w:cs="Times New Roman"/>
                <w:color w:val="000000"/>
                <w:kern w:val="0"/>
                <w:sz w:val="22"/>
                <w:szCs w:val="22"/>
                <w:highlight w:val="none"/>
              </w:rPr>
            </w:pPr>
          </w:p>
          <w:p w14:paraId="24F2C8C5">
            <w:pPr>
              <w:spacing w:line="0" w:lineRule="atLeast"/>
              <w:jc w:val="center"/>
              <w:rPr>
                <w:rFonts w:hint="default" w:ascii="Times New Roman" w:hAnsi="Times New Roman" w:cs="Times New Roman"/>
                <w:color w:val="000000"/>
                <w:kern w:val="0"/>
                <w:sz w:val="22"/>
                <w:szCs w:val="22"/>
                <w:highlight w:val="none"/>
              </w:rPr>
            </w:pPr>
          </w:p>
          <w:p w14:paraId="312FCAF7">
            <w:pPr>
              <w:spacing w:line="0" w:lineRule="atLeast"/>
              <w:jc w:val="center"/>
              <w:rPr>
                <w:rFonts w:hint="default" w:ascii="Times New Roman" w:hAnsi="Times New Roman" w:cs="Times New Roman"/>
                <w:color w:val="000000"/>
                <w:kern w:val="0"/>
                <w:sz w:val="22"/>
                <w:szCs w:val="22"/>
                <w:highlight w:val="none"/>
              </w:rPr>
            </w:pPr>
          </w:p>
          <w:p w14:paraId="6C493DA2">
            <w:pPr>
              <w:spacing w:line="0" w:lineRule="atLeast"/>
              <w:jc w:val="center"/>
              <w:rPr>
                <w:rFonts w:hint="default" w:ascii="Times New Roman" w:hAnsi="Times New Roman" w:cs="Times New Roman"/>
                <w:color w:val="000000"/>
                <w:kern w:val="0"/>
                <w:sz w:val="22"/>
                <w:szCs w:val="22"/>
                <w:highlight w:val="none"/>
              </w:rPr>
            </w:pPr>
          </w:p>
          <w:p w14:paraId="55CF1E28">
            <w:pPr>
              <w:spacing w:line="0" w:lineRule="atLeast"/>
              <w:jc w:val="center"/>
              <w:rPr>
                <w:rFonts w:hint="default" w:ascii="Times New Roman" w:hAnsi="Times New Roman" w:cs="Times New Roman"/>
                <w:color w:val="000000"/>
                <w:kern w:val="0"/>
                <w:sz w:val="22"/>
                <w:szCs w:val="22"/>
                <w:highlight w:val="none"/>
              </w:rPr>
            </w:pPr>
          </w:p>
          <w:p w14:paraId="3B894C3C">
            <w:pP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过程</w:t>
            </w:r>
          </w:p>
          <w:p w14:paraId="6139FE11">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　　</w:t>
            </w:r>
          </w:p>
        </w:tc>
        <w:tc>
          <w:tcPr>
            <w:tcW w:w="301" w:type="pct"/>
            <w:vMerge w:val="restart"/>
            <w:shd w:val="clear" w:color="auto" w:fill="FFFFFF"/>
            <w:vAlign w:val="center"/>
          </w:tcPr>
          <w:p w14:paraId="06171286">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资金管理</w:t>
            </w:r>
          </w:p>
        </w:tc>
        <w:tc>
          <w:tcPr>
            <w:tcW w:w="344" w:type="pct"/>
            <w:shd w:val="clear" w:color="auto" w:fill="FFFFFF"/>
            <w:vAlign w:val="center"/>
          </w:tcPr>
          <w:p w14:paraId="4EFB728C">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资金到位率</w:t>
            </w:r>
          </w:p>
        </w:tc>
        <w:tc>
          <w:tcPr>
            <w:tcW w:w="927" w:type="pct"/>
            <w:shd w:val="clear" w:color="000000" w:fill="FFFFFF"/>
            <w:vAlign w:val="center"/>
          </w:tcPr>
          <w:p w14:paraId="1EC3ABB2">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实际到位资金与预算资金的比率，用以反映和考核资金落实情况对项目实施的总体保障程度。</w:t>
            </w:r>
          </w:p>
        </w:tc>
        <w:tc>
          <w:tcPr>
            <w:tcW w:w="2051" w:type="pct"/>
            <w:shd w:val="clear" w:color="000000" w:fill="FFFFFF"/>
            <w:vAlign w:val="center"/>
          </w:tcPr>
          <w:p w14:paraId="0D659A7C">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资金到位率=（实际到位资金/预算资金）×100%。</w:t>
            </w:r>
          </w:p>
          <w:p w14:paraId="5537F7E9">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实际到位资金：一定时期（本年度或项目期）内落实到具体项目的资金。</w:t>
            </w:r>
          </w:p>
          <w:p w14:paraId="31F71790">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预算资金：一定时期（本年度或项目期）内预算安排到具体项目的资金。</w:t>
            </w:r>
          </w:p>
        </w:tc>
        <w:tc>
          <w:tcPr>
            <w:tcW w:w="512" w:type="pct"/>
            <w:shd w:val="clear" w:color="000000" w:fill="FFFFFF"/>
            <w:vAlign w:val="center"/>
          </w:tcPr>
          <w:p w14:paraId="23ACA681">
            <w:pPr>
              <w:widowControl/>
              <w:spacing w:line="0" w:lineRule="atLeast"/>
              <w:jc w:val="center"/>
              <w:rPr>
                <w:rFonts w:hint="eastAsia" w:ascii="Times New Roman" w:hAnsi="Times New Roman" w:eastAsia="宋体" w:cs="Times New Roman"/>
                <w:b/>
                <w:bCs/>
                <w:color w:val="000000"/>
                <w:kern w:val="0"/>
                <w:sz w:val="22"/>
                <w:szCs w:val="22"/>
                <w:highlight w:val="none"/>
                <w:lang w:val="en-US" w:eastAsia="zh-CN"/>
              </w:rPr>
            </w:pPr>
            <w:r>
              <w:rPr>
                <w:rFonts w:hint="eastAsia" w:cs="Times New Roman"/>
                <w:b/>
                <w:bCs/>
                <w:color w:val="000000"/>
                <w:kern w:val="0"/>
                <w:sz w:val="22"/>
                <w:szCs w:val="22"/>
                <w:highlight w:val="none"/>
                <w:lang w:val="en-US" w:eastAsia="zh-CN"/>
              </w:rPr>
              <w:t>4</w:t>
            </w:r>
          </w:p>
        </w:tc>
        <w:tc>
          <w:tcPr>
            <w:tcW w:w="537" w:type="pct"/>
            <w:shd w:val="clear" w:color="000000" w:fill="FFFFFF"/>
            <w:vAlign w:val="center"/>
          </w:tcPr>
          <w:p w14:paraId="60C94142">
            <w:pPr>
              <w:widowControl/>
              <w:spacing w:line="0" w:lineRule="atLeast"/>
              <w:jc w:val="center"/>
              <w:rPr>
                <w:rFonts w:hint="eastAsia" w:ascii="Times New Roman" w:hAnsi="Times New Roman" w:eastAsia="宋体" w:cs="Times New Roman"/>
                <w:b/>
                <w:bCs/>
                <w:color w:val="000000"/>
                <w:kern w:val="0"/>
                <w:sz w:val="22"/>
                <w:szCs w:val="22"/>
                <w:highlight w:val="none"/>
                <w:lang w:val="en-US" w:eastAsia="zh-CN"/>
              </w:rPr>
            </w:pPr>
            <w:r>
              <w:rPr>
                <w:rFonts w:hint="eastAsia" w:cs="Times New Roman"/>
                <w:b/>
                <w:bCs/>
                <w:color w:val="000000"/>
                <w:kern w:val="0"/>
                <w:sz w:val="22"/>
                <w:szCs w:val="22"/>
                <w:highlight w:val="none"/>
                <w:lang w:val="en-US" w:eastAsia="zh-CN"/>
              </w:rPr>
              <w:t>4</w:t>
            </w:r>
          </w:p>
        </w:tc>
      </w:tr>
      <w:tr w14:paraId="0543C2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326" w:type="pct"/>
            <w:vMerge w:val="continue"/>
            <w:shd w:val="clear" w:color="auto" w:fill="FFFFFF"/>
            <w:vAlign w:val="center"/>
          </w:tcPr>
          <w:p w14:paraId="33617ED6">
            <w:pPr>
              <w:spacing w:line="0" w:lineRule="atLeast"/>
              <w:jc w:val="center"/>
              <w:rPr>
                <w:rFonts w:hint="default" w:ascii="Times New Roman" w:hAnsi="Times New Roman" w:cs="Times New Roman"/>
                <w:color w:val="000000"/>
                <w:kern w:val="0"/>
                <w:sz w:val="22"/>
                <w:szCs w:val="22"/>
                <w:highlight w:val="none"/>
              </w:rPr>
            </w:pPr>
          </w:p>
        </w:tc>
        <w:tc>
          <w:tcPr>
            <w:tcW w:w="301" w:type="pct"/>
            <w:vMerge w:val="continue"/>
            <w:shd w:val="clear" w:color="auto" w:fill="FFFFFF"/>
            <w:vAlign w:val="center"/>
          </w:tcPr>
          <w:p w14:paraId="6F4FDDFB">
            <w:pPr>
              <w:spacing w:line="0" w:lineRule="atLeast"/>
              <w:jc w:val="center"/>
              <w:rPr>
                <w:rFonts w:hint="default" w:ascii="Times New Roman" w:hAnsi="Times New Roman" w:cs="Times New Roman"/>
                <w:color w:val="000000"/>
                <w:kern w:val="0"/>
                <w:sz w:val="22"/>
                <w:szCs w:val="22"/>
                <w:highlight w:val="none"/>
              </w:rPr>
            </w:pPr>
          </w:p>
        </w:tc>
        <w:tc>
          <w:tcPr>
            <w:tcW w:w="344" w:type="pct"/>
            <w:shd w:val="clear" w:color="auto" w:fill="FFFFFF"/>
            <w:vAlign w:val="center"/>
          </w:tcPr>
          <w:p w14:paraId="3794527E">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预算执行率</w:t>
            </w:r>
          </w:p>
        </w:tc>
        <w:tc>
          <w:tcPr>
            <w:tcW w:w="927" w:type="pct"/>
            <w:shd w:val="clear" w:color="auto" w:fill="FFFFFF"/>
            <w:vAlign w:val="center"/>
          </w:tcPr>
          <w:p w14:paraId="11282266">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项目预算资金是否按照计划执行，用以反映或考核项目预算执行情况。</w:t>
            </w:r>
          </w:p>
        </w:tc>
        <w:tc>
          <w:tcPr>
            <w:tcW w:w="2051" w:type="pct"/>
            <w:shd w:val="clear" w:color="auto" w:fill="FFFFFF"/>
            <w:vAlign w:val="center"/>
          </w:tcPr>
          <w:p w14:paraId="5FAEFD68">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预算执行率=（实际支出资金/实际到位资金）×100%。</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实际支出资金：一定时期（本年度或项目期）内项目实际拨付的资金。</w:t>
            </w:r>
          </w:p>
        </w:tc>
        <w:tc>
          <w:tcPr>
            <w:tcW w:w="512" w:type="pct"/>
            <w:shd w:val="clear" w:color="auto" w:fill="FFFFFF"/>
            <w:vAlign w:val="center"/>
          </w:tcPr>
          <w:p w14:paraId="7FEB3F68">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537" w:type="pct"/>
            <w:shd w:val="clear" w:color="auto" w:fill="FFFFFF"/>
            <w:vAlign w:val="center"/>
          </w:tcPr>
          <w:p w14:paraId="0BF3CBDD">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1.15</w:t>
            </w:r>
          </w:p>
        </w:tc>
      </w:tr>
      <w:tr w14:paraId="2123DB1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326" w:type="pct"/>
            <w:vMerge w:val="continue"/>
            <w:shd w:val="clear" w:color="auto" w:fill="FFFFFF"/>
            <w:vAlign w:val="center"/>
          </w:tcPr>
          <w:p w14:paraId="2E6021A9">
            <w:pPr>
              <w:spacing w:line="0" w:lineRule="atLeast"/>
              <w:jc w:val="center"/>
              <w:rPr>
                <w:rFonts w:hint="default" w:ascii="Times New Roman" w:hAnsi="Times New Roman" w:cs="Times New Roman"/>
                <w:color w:val="000000"/>
                <w:kern w:val="0"/>
                <w:sz w:val="22"/>
                <w:szCs w:val="22"/>
                <w:highlight w:val="none"/>
              </w:rPr>
            </w:pPr>
          </w:p>
        </w:tc>
        <w:tc>
          <w:tcPr>
            <w:tcW w:w="301" w:type="pct"/>
            <w:shd w:val="clear" w:color="auto" w:fill="FFFFFF"/>
            <w:vAlign w:val="center"/>
          </w:tcPr>
          <w:p w14:paraId="038858FC">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资金管理</w:t>
            </w:r>
          </w:p>
        </w:tc>
        <w:tc>
          <w:tcPr>
            <w:tcW w:w="344" w:type="pct"/>
            <w:shd w:val="clear" w:color="auto" w:fill="FFFFFF"/>
            <w:vAlign w:val="center"/>
          </w:tcPr>
          <w:p w14:paraId="6C017964">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资金使用</w:t>
            </w:r>
          </w:p>
          <w:p w14:paraId="33CCEEA7">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合规性</w:t>
            </w:r>
          </w:p>
        </w:tc>
        <w:tc>
          <w:tcPr>
            <w:tcW w:w="927" w:type="pct"/>
            <w:shd w:val="clear" w:color="000000" w:fill="FFFFFF"/>
            <w:vAlign w:val="center"/>
          </w:tcPr>
          <w:p w14:paraId="79BF78FC">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项目资金使用是否符合相关的财务管理制度规定，用以反映和考核项目资金的规范运行情况。</w:t>
            </w:r>
          </w:p>
        </w:tc>
        <w:tc>
          <w:tcPr>
            <w:tcW w:w="2051" w:type="pct"/>
            <w:shd w:val="clear" w:color="000000" w:fill="FFFFFF"/>
            <w:vAlign w:val="center"/>
          </w:tcPr>
          <w:p w14:paraId="4E6EDD07">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①是否符合国家财经法规和财务管理制度以及有关专项资金管理办法的规定；</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②资金的拨付是否有完整的审批程序和手续；</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③是否符合项目预算批复或合同规定的用途；</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④是否存在截留、挤占、挪用、虚列支出等情况。</w:t>
            </w:r>
          </w:p>
        </w:tc>
        <w:tc>
          <w:tcPr>
            <w:tcW w:w="512" w:type="pct"/>
            <w:shd w:val="clear" w:color="000000" w:fill="FFFFFF"/>
            <w:vAlign w:val="center"/>
          </w:tcPr>
          <w:p w14:paraId="412830DA">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537" w:type="pct"/>
            <w:shd w:val="clear" w:color="000000" w:fill="FFFFFF"/>
            <w:vAlign w:val="center"/>
          </w:tcPr>
          <w:p w14:paraId="158CA4E1">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cs="Times New Roman"/>
                <w:b/>
                <w:bCs/>
                <w:color w:val="000000"/>
                <w:kern w:val="0"/>
                <w:sz w:val="22"/>
                <w:szCs w:val="22"/>
                <w:highlight w:val="none"/>
                <w:lang w:val="en-US" w:eastAsia="zh-CN"/>
              </w:rPr>
              <w:t>4</w:t>
            </w:r>
          </w:p>
        </w:tc>
      </w:tr>
      <w:tr w14:paraId="2E75B86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326" w:type="pct"/>
            <w:vMerge w:val="continue"/>
            <w:shd w:val="clear" w:color="auto" w:fill="FFFFFF"/>
            <w:vAlign w:val="center"/>
          </w:tcPr>
          <w:p w14:paraId="08D07F9F">
            <w:pPr>
              <w:spacing w:line="0" w:lineRule="atLeast"/>
              <w:jc w:val="center"/>
              <w:rPr>
                <w:rFonts w:hint="default" w:ascii="Times New Roman" w:hAnsi="Times New Roman" w:cs="Times New Roman"/>
                <w:color w:val="000000"/>
                <w:kern w:val="0"/>
                <w:sz w:val="22"/>
                <w:szCs w:val="22"/>
                <w:highlight w:val="none"/>
              </w:rPr>
            </w:pPr>
          </w:p>
        </w:tc>
        <w:tc>
          <w:tcPr>
            <w:tcW w:w="301" w:type="pct"/>
            <w:vMerge w:val="restart"/>
            <w:shd w:val="clear" w:color="auto" w:fill="FFFFFF"/>
            <w:vAlign w:val="center"/>
          </w:tcPr>
          <w:p w14:paraId="1B35997C">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组织实施</w:t>
            </w:r>
          </w:p>
          <w:p w14:paraId="3F500462">
            <w:pP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　</w:t>
            </w:r>
          </w:p>
        </w:tc>
        <w:tc>
          <w:tcPr>
            <w:tcW w:w="344" w:type="pct"/>
            <w:shd w:val="clear" w:color="auto" w:fill="FFFFFF"/>
            <w:vAlign w:val="center"/>
          </w:tcPr>
          <w:p w14:paraId="317062FA">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管理制度</w:t>
            </w:r>
          </w:p>
          <w:p w14:paraId="3B5161E0">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健全性</w:t>
            </w:r>
          </w:p>
        </w:tc>
        <w:tc>
          <w:tcPr>
            <w:tcW w:w="927" w:type="pct"/>
            <w:shd w:val="clear" w:color="000000" w:fill="FFFFFF"/>
            <w:vAlign w:val="center"/>
          </w:tcPr>
          <w:p w14:paraId="4F03037C">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项目实施单位的财务和业务管理制度是否健全，用以反映和考核财务和业务管理制度对项目顺利实施的保障情况。</w:t>
            </w:r>
          </w:p>
        </w:tc>
        <w:tc>
          <w:tcPr>
            <w:tcW w:w="2051" w:type="pct"/>
            <w:shd w:val="clear" w:color="000000" w:fill="FFFFFF"/>
            <w:vAlign w:val="center"/>
          </w:tcPr>
          <w:p w14:paraId="238F415D">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①是否已制定或具有相应的财务和业务管理制度；</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②财务和业务管理制度是否合法、合规、完整。</w:t>
            </w:r>
          </w:p>
        </w:tc>
        <w:tc>
          <w:tcPr>
            <w:tcW w:w="512" w:type="pct"/>
            <w:shd w:val="clear" w:color="000000" w:fill="FFFFFF"/>
            <w:vAlign w:val="center"/>
          </w:tcPr>
          <w:p w14:paraId="4D31515C">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537" w:type="pct"/>
            <w:shd w:val="clear" w:color="000000" w:fill="FFFFFF"/>
            <w:vAlign w:val="center"/>
          </w:tcPr>
          <w:p w14:paraId="7A4FCFAF">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cs="Times New Roman"/>
                <w:b/>
                <w:bCs/>
                <w:color w:val="000000"/>
                <w:kern w:val="0"/>
                <w:sz w:val="22"/>
                <w:szCs w:val="22"/>
                <w:highlight w:val="none"/>
                <w:lang w:val="en-US" w:eastAsia="zh-CN"/>
              </w:rPr>
              <w:t>4</w:t>
            </w:r>
          </w:p>
        </w:tc>
      </w:tr>
      <w:tr w14:paraId="1EEF9C1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326" w:type="pct"/>
            <w:vMerge w:val="continue"/>
            <w:shd w:val="clear" w:color="auto" w:fill="FFFFFF"/>
            <w:vAlign w:val="center"/>
          </w:tcPr>
          <w:p w14:paraId="2EE04893">
            <w:pPr>
              <w:widowControl/>
              <w:spacing w:line="0" w:lineRule="atLeast"/>
              <w:jc w:val="center"/>
              <w:rPr>
                <w:rFonts w:hint="default" w:ascii="Times New Roman" w:hAnsi="Times New Roman" w:cs="Times New Roman"/>
                <w:color w:val="000000"/>
                <w:kern w:val="0"/>
                <w:sz w:val="22"/>
                <w:szCs w:val="22"/>
                <w:highlight w:val="none"/>
              </w:rPr>
            </w:pPr>
          </w:p>
        </w:tc>
        <w:tc>
          <w:tcPr>
            <w:tcW w:w="301" w:type="pct"/>
            <w:vMerge w:val="continue"/>
            <w:shd w:val="clear" w:color="auto" w:fill="FFFFFF"/>
            <w:vAlign w:val="center"/>
          </w:tcPr>
          <w:p w14:paraId="6B0E41C2">
            <w:pPr>
              <w:widowControl/>
              <w:spacing w:line="0" w:lineRule="atLeast"/>
              <w:jc w:val="center"/>
              <w:rPr>
                <w:rFonts w:hint="default" w:ascii="Times New Roman" w:hAnsi="Times New Roman" w:cs="Times New Roman"/>
                <w:color w:val="000000"/>
                <w:kern w:val="0"/>
                <w:sz w:val="22"/>
                <w:szCs w:val="22"/>
                <w:highlight w:val="none"/>
              </w:rPr>
            </w:pPr>
          </w:p>
        </w:tc>
        <w:tc>
          <w:tcPr>
            <w:tcW w:w="344" w:type="pct"/>
            <w:shd w:val="clear" w:color="auto" w:fill="FFFFFF"/>
            <w:vAlign w:val="center"/>
          </w:tcPr>
          <w:p w14:paraId="177F0EBA">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制度执行</w:t>
            </w:r>
          </w:p>
          <w:p w14:paraId="17EA2CFC">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有效性</w:t>
            </w:r>
          </w:p>
        </w:tc>
        <w:tc>
          <w:tcPr>
            <w:tcW w:w="927" w:type="pct"/>
            <w:shd w:val="clear" w:color="000000" w:fill="FFFFFF"/>
            <w:vAlign w:val="center"/>
          </w:tcPr>
          <w:p w14:paraId="58BD2879">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项目实施是否符合相关管理规定，用以反映和考核相关管理制度的有效执行情况。</w:t>
            </w:r>
          </w:p>
        </w:tc>
        <w:tc>
          <w:tcPr>
            <w:tcW w:w="2051" w:type="pct"/>
            <w:shd w:val="clear" w:color="000000" w:fill="FFFFFF"/>
            <w:vAlign w:val="center"/>
          </w:tcPr>
          <w:p w14:paraId="033971AE">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①是否遵守相关法律法规和相关管理规定；</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②项目调整及支出调整手续是否完备；</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③项目合同书、验收报告、技术鉴定等资料是否齐全并及时归档；</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④项目实施的人员条件、场地设备、信息支撑等是否落实到位。</w:t>
            </w:r>
          </w:p>
        </w:tc>
        <w:tc>
          <w:tcPr>
            <w:tcW w:w="512" w:type="pct"/>
            <w:shd w:val="clear" w:color="000000" w:fill="FFFFFF"/>
            <w:vAlign w:val="center"/>
          </w:tcPr>
          <w:p w14:paraId="47CD6273">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537" w:type="pct"/>
            <w:shd w:val="clear" w:color="000000" w:fill="FFFFFF"/>
            <w:vAlign w:val="center"/>
          </w:tcPr>
          <w:p w14:paraId="2D3F7E8A">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cs="Times New Roman"/>
                <w:b/>
                <w:bCs/>
                <w:color w:val="000000"/>
                <w:kern w:val="0"/>
                <w:sz w:val="22"/>
                <w:szCs w:val="22"/>
                <w:highlight w:val="none"/>
                <w:lang w:val="en-US" w:eastAsia="zh-CN"/>
              </w:rPr>
              <w:t>4</w:t>
            </w:r>
          </w:p>
        </w:tc>
      </w:tr>
      <w:tr w14:paraId="30E7E4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7" w:hRule="atLeast"/>
          <w:jc w:val="center"/>
        </w:trPr>
        <w:tc>
          <w:tcPr>
            <w:tcW w:w="326" w:type="pct"/>
            <w:vMerge w:val="restart"/>
            <w:shd w:val="clear" w:color="auto" w:fill="FFFFFF"/>
            <w:vAlign w:val="center"/>
          </w:tcPr>
          <w:p w14:paraId="7342C74B">
            <w:pPr>
              <w:keepNext w:val="0"/>
              <w:keepLines w:val="0"/>
              <w:widowControl/>
              <w:suppressLineNumbers w:val="0"/>
              <w:jc w:val="center"/>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2"/>
                <w:szCs w:val="22"/>
                <w:highlight w:val="none"/>
                <w:u w:val="none"/>
                <w:lang w:val="en-US" w:eastAsia="zh-CN"/>
              </w:rPr>
              <w:t>产出</w:t>
            </w:r>
          </w:p>
        </w:tc>
        <w:tc>
          <w:tcPr>
            <w:tcW w:w="301" w:type="pct"/>
            <w:shd w:val="clear" w:color="auto" w:fill="FFFFFF"/>
            <w:vAlign w:val="center"/>
          </w:tcPr>
          <w:p w14:paraId="599F4AE0">
            <w:pPr>
              <w:keepNext w:val="0"/>
              <w:keepLines w:val="0"/>
              <w:widowControl/>
              <w:suppressLineNumbers w:val="0"/>
              <w:jc w:val="center"/>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2"/>
                <w:szCs w:val="22"/>
                <w:highlight w:val="none"/>
                <w:u w:val="none"/>
                <w:lang w:val="en-US" w:eastAsia="zh-CN"/>
              </w:rPr>
              <w:t>产出数量</w:t>
            </w:r>
          </w:p>
        </w:tc>
        <w:tc>
          <w:tcPr>
            <w:tcW w:w="344" w:type="pct"/>
            <w:shd w:val="clear" w:color="auto" w:fill="FFFFFF"/>
            <w:vAlign w:val="center"/>
          </w:tcPr>
          <w:p w14:paraId="72869A57">
            <w:pPr>
              <w:keepNext w:val="0"/>
              <w:keepLines w:val="0"/>
              <w:widowControl/>
              <w:suppressLineNumbers w:val="0"/>
              <w:jc w:val="center"/>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2"/>
                <w:szCs w:val="22"/>
                <w:highlight w:val="none"/>
                <w:u w:val="none"/>
                <w:lang w:val="en-US" w:eastAsia="zh-CN"/>
              </w:rPr>
              <w:t>打造越冬放牧用房</w:t>
            </w:r>
          </w:p>
        </w:tc>
        <w:tc>
          <w:tcPr>
            <w:tcW w:w="927" w:type="pct"/>
            <w:shd w:val="clear" w:color="000000" w:fill="FFFFFF"/>
            <w:vAlign w:val="center"/>
          </w:tcPr>
          <w:p w14:paraId="43F6B34B">
            <w:pPr>
              <w:keepNext w:val="0"/>
              <w:keepLines w:val="0"/>
              <w:widowControl/>
              <w:suppressLineNumbers w:val="0"/>
              <w:jc w:val="both"/>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2"/>
                <w:szCs w:val="22"/>
                <w:highlight w:val="none"/>
                <w:u w:val="none"/>
                <w:lang w:val="en-US" w:eastAsia="zh-CN"/>
              </w:rPr>
              <w:t>项目实施的实际产出数与计划产出数的比率，用以反映和考核项目产出数量目标的实现程度。</w:t>
            </w:r>
          </w:p>
        </w:tc>
        <w:tc>
          <w:tcPr>
            <w:tcW w:w="2051" w:type="pct"/>
            <w:shd w:val="clear" w:color="000000" w:fill="FFFFFF"/>
            <w:vAlign w:val="center"/>
          </w:tcPr>
          <w:p w14:paraId="1A09810C">
            <w:pPr>
              <w:keepNext w:val="0"/>
              <w:keepLines w:val="0"/>
              <w:widowControl/>
              <w:suppressLineNumbers w:val="0"/>
              <w:jc w:val="left"/>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2"/>
                <w:szCs w:val="22"/>
                <w:highlight w:val="none"/>
                <w:u w:val="none"/>
                <w:lang w:val="en-US" w:eastAsia="zh-CN"/>
              </w:rPr>
              <w:t>实际完成率=（实际产出数/计划产出数）×100%。</w:t>
            </w:r>
            <w:r>
              <w:rPr>
                <w:rFonts w:hint="eastAsia" w:ascii="宋体" w:hAnsi="宋体" w:eastAsia="宋体" w:cs="宋体"/>
                <w:i w:val="0"/>
                <w:iCs w:val="0"/>
                <w:color w:val="000000"/>
                <w:kern w:val="0"/>
                <w:sz w:val="22"/>
                <w:szCs w:val="22"/>
                <w:highlight w:val="none"/>
                <w:u w:val="none"/>
                <w:lang w:val="en-US" w:eastAsia="zh-CN"/>
              </w:rPr>
              <w:br w:type="textWrapping"/>
            </w:r>
            <w:r>
              <w:rPr>
                <w:rFonts w:hint="eastAsia" w:ascii="宋体" w:hAnsi="宋体" w:eastAsia="宋体" w:cs="宋体"/>
                <w:i w:val="0"/>
                <w:iCs w:val="0"/>
                <w:color w:val="000000"/>
                <w:kern w:val="0"/>
                <w:sz w:val="22"/>
                <w:szCs w:val="22"/>
                <w:highlight w:val="none"/>
                <w:u w:val="none"/>
                <w:lang w:val="en-US" w:eastAsia="zh-CN"/>
              </w:rPr>
              <w:t>实际产出数：一定时期（本年度或项目期）内项目实际产出的产品或提供的服务数量。</w:t>
            </w:r>
            <w:r>
              <w:rPr>
                <w:rFonts w:hint="eastAsia" w:ascii="宋体" w:hAnsi="宋体" w:eastAsia="宋体" w:cs="宋体"/>
                <w:i w:val="0"/>
                <w:iCs w:val="0"/>
                <w:color w:val="000000"/>
                <w:kern w:val="0"/>
                <w:sz w:val="22"/>
                <w:szCs w:val="22"/>
                <w:highlight w:val="none"/>
                <w:u w:val="none"/>
                <w:lang w:val="en-US" w:eastAsia="zh-CN"/>
              </w:rPr>
              <w:br w:type="textWrapping"/>
            </w:r>
            <w:r>
              <w:rPr>
                <w:rFonts w:hint="eastAsia" w:ascii="宋体" w:hAnsi="宋体" w:eastAsia="宋体" w:cs="宋体"/>
                <w:i w:val="0"/>
                <w:iCs w:val="0"/>
                <w:color w:val="000000"/>
                <w:kern w:val="0"/>
                <w:sz w:val="22"/>
                <w:szCs w:val="22"/>
                <w:highlight w:val="none"/>
                <w:u w:val="none"/>
                <w:lang w:val="en-US" w:eastAsia="zh-CN"/>
              </w:rPr>
              <w:t>计划产出数：项目绩效目标确定的在一定时期（本年度或项目期）内计划产出的产品或提供的服务数量。</w:t>
            </w:r>
          </w:p>
        </w:tc>
        <w:tc>
          <w:tcPr>
            <w:tcW w:w="512" w:type="pct"/>
            <w:shd w:val="clear" w:color="000000" w:fill="FFFFFF"/>
            <w:vAlign w:val="center"/>
          </w:tcPr>
          <w:p w14:paraId="49000D00">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537" w:type="pct"/>
            <w:shd w:val="clear" w:color="000000" w:fill="FFFFFF"/>
            <w:vAlign w:val="center"/>
          </w:tcPr>
          <w:p w14:paraId="6F5A7516">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eastAsia" w:cs="Times New Roman"/>
                <w:b/>
                <w:bCs/>
                <w:color w:val="000000"/>
                <w:kern w:val="0"/>
                <w:sz w:val="22"/>
                <w:szCs w:val="22"/>
                <w:highlight w:val="none"/>
                <w:lang w:val="en-US" w:eastAsia="zh-CN"/>
              </w:rPr>
              <w:t>10</w:t>
            </w:r>
          </w:p>
        </w:tc>
      </w:tr>
      <w:tr w14:paraId="3D4D6F6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49" w:hRule="atLeast"/>
          <w:jc w:val="center"/>
        </w:trPr>
        <w:tc>
          <w:tcPr>
            <w:tcW w:w="326" w:type="pct"/>
            <w:vMerge w:val="continue"/>
            <w:shd w:val="clear" w:color="auto" w:fill="FFFFFF"/>
            <w:vAlign w:val="center"/>
          </w:tcPr>
          <w:p w14:paraId="208E73C9">
            <w:pPr>
              <w:jc w:val="center"/>
              <w:rPr>
                <w:rFonts w:hint="default" w:ascii="Times New Roman" w:hAnsi="Times New Roman" w:cs="Times New Roman"/>
                <w:color w:val="000000"/>
                <w:kern w:val="0"/>
                <w:sz w:val="22"/>
                <w:szCs w:val="22"/>
                <w:highlight w:val="none"/>
              </w:rPr>
            </w:pPr>
          </w:p>
        </w:tc>
        <w:tc>
          <w:tcPr>
            <w:tcW w:w="301" w:type="pct"/>
            <w:vMerge w:val="restart"/>
            <w:shd w:val="clear" w:color="auto" w:fill="FFFFFF"/>
            <w:vAlign w:val="center"/>
          </w:tcPr>
          <w:p w14:paraId="3B689231">
            <w:pPr>
              <w:keepNext w:val="0"/>
              <w:keepLines w:val="0"/>
              <w:widowControl/>
              <w:suppressLineNumbers w:val="0"/>
              <w:jc w:val="center"/>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0"/>
                <w:szCs w:val="20"/>
                <w:highlight w:val="none"/>
                <w:u w:val="none"/>
                <w:lang w:val="en-US" w:eastAsia="zh-CN"/>
              </w:rPr>
              <w:t>质量指标</w:t>
            </w:r>
          </w:p>
        </w:tc>
        <w:tc>
          <w:tcPr>
            <w:tcW w:w="344" w:type="pct"/>
            <w:shd w:val="clear" w:color="auto" w:fill="FFFFFF"/>
            <w:vAlign w:val="center"/>
          </w:tcPr>
          <w:p w14:paraId="562C9E77">
            <w:pPr>
              <w:keepNext w:val="0"/>
              <w:keepLines w:val="0"/>
              <w:widowControl/>
              <w:suppressLineNumbers w:val="0"/>
              <w:jc w:val="left"/>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0"/>
                <w:szCs w:val="20"/>
                <w:highlight w:val="none"/>
                <w:u w:val="none"/>
                <w:lang w:val="en-US" w:eastAsia="zh-CN"/>
              </w:rPr>
              <w:t>打造用房验收合格率</w:t>
            </w:r>
          </w:p>
        </w:tc>
        <w:tc>
          <w:tcPr>
            <w:tcW w:w="927" w:type="pct"/>
            <w:vMerge w:val="restart"/>
            <w:shd w:val="clear" w:color="000000" w:fill="FFFFFF"/>
            <w:vAlign w:val="center"/>
          </w:tcPr>
          <w:p w14:paraId="5D99C963">
            <w:pPr>
              <w:keepNext w:val="0"/>
              <w:keepLines w:val="0"/>
              <w:widowControl/>
              <w:suppressLineNumbers w:val="0"/>
              <w:jc w:val="both"/>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2"/>
                <w:szCs w:val="22"/>
                <w:highlight w:val="none"/>
                <w:u w:val="none"/>
                <w:lang w:val="en-US" w:eastAsia="zh-CN"/>
              </w:rPr>
              <w:t>项目完成的质量达标产出数与实际产出数的比率，用以反映和考核项目产出质量目标的实现程度。</w:t>
            </w:r>
          </w:p>
        </w:tc>
        <w:tc>
          <w:tcPr>
            <w:tcW w:w="2051" w:type="pct"/>
            <w:vMerge w:val="restart"/>
            <w:shd w:val="clear" w:color="000000" w:fill="FFFFFF"/>
            <w:vAlign w:val="center"/>
          </w:tcPr>
          <w:p w14:paraId="4CA4D820">
            <w:pPr>
              <w:keepNext w:val="0"/>
              <w:keepLines w:val="0"/>
              <w:widowControl/>
              <w:suppressLineNumbers w:val="0"/>
              <w:jc w:val="left"/>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2"/>
                <w:szCs w:val="22"/>
                <w:highlight w:val="none"/>
                <w:u w:val="none"/>
                <w:lang w:val="en-US" w:eastAsia="zh-CN"/>
              </w:rPr>
              <w:t>质量达标率=（质量达标产出数/实际产出数）×100%。</w:t>
            </w:r>
            <w:r>
              <w:rPr>
                <w:rFonts w:hint="eastAsia" w:ascii="宋体" w:hAnsi="宋体" w:eastAsia="宋体" w:cs="宋体"/>
                <w:i w:val="0"/>
                <w:iCs w:val="0"/>
                <w:color w:val="000000"/>
                <w:kern w:val="0"/>
                <w:sz w:val="22"/>
                <w:szCs w:val="22"/>
                <w:highlight w:val="none"/>
                <w:u w:val="none"/>
                <w:lang w:val="en-US" w:eastAsia="zh-CN"/>
              </w:rPr>
              <w:br w:type="textWrapping"/>
            </w:r>
            <w:r>
              <w:rPr>
                <w:rFonts w:hint="eastAsia" w:ascii="宋体" w:hAnsi="宋体" w:eastAsia="宋体" w:cs="宋体"/>
                <w:i w:val="0"/>
                <w:iCs w:val="0"/>
                <w:color w:val="000000"/>
                <w:kern w:val="0"/>
                <w:sz w:val="22"/>
                <w:szCs w:val="22"/>
                <w:highlight w:val="none"/>
                <w:u w:val="none"/>
                <w:lang w:val="en-US" w:eastAsia="zh-CN"/>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6425A95F">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cs="Times New Roman"/>
                <w:b/>
                <w:bCs/>
                <w:color w:val="000000"/>
                <w:kern w:val="0"/>
                <w:sz w:val="22"/>
                <w:szCs w:val="22"/>
                <w:highlight w:val="none"/>
                <w:lang w:val="en-US" w:eastAsia="zh-CN"/>
              </w:rPr>
              <w:t>5</w:t>
            </w:r>
          </w:p>
        </w:tc>
        <w:tc>
          <w:tcPr>
            <w:tcW w:w="537" w:type="pct"/>
            <w:shd w:val="clear" w:color="000000" w:fill="FFFFFF"/>
            <w:vAlign w:val="center"/>
          </w:tcPr>
          <w:p w14:paraId="0174E547">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cs="Times New Roman"/>
                <w:b/>
                <w:bCs/>
                <w:color w:val="000000"/>
                <w:kern w:val="0"/>
                <w:sz w:val="22"/>
                <w:szCs w:val="22"/>
                <w:highlight w:val="none"/>
                <w:lang w:val="en-US" w:eastAsia="zh-CN"/>
              </w:rPr>
              <w:t>5</w:t>
            </w:r>
          </w:p>
        </w:tc>
      </w:tr>
      <w:tr w14:paraId="62E9B46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49" w:hRule="atLeast"/>
          <w:jc w:val="center"/>
        </w:trPr>
        <w:tc>
          <w:tcPr>
            <w:tcW w:w="326" w:type="pct"/>
            <w:vMerge w:val="continue"/>
            <w:shd w:val="clear" w:color="auto" w:fill="FFFFFF"/>
            <w:vAlign w:val="center"/>
          </w:tcPr>
          <w:p w14:paraId="0C56CAEB">
            <w:pPr>
              <w:jc w:val="center"/>
              <w:rPr>
                <w:highlight w:val="none"/>
              </w:rPr>
            </w:pPr>
          </w:p>
        </w:tc>
        <w:tc>
          <w:tcPr>
            <w:tcW w:w="301" w:type="pct"/>
            <w:vMerge w:val="continue"/>
            <w:shd w:val="clear" w:color="auto" w:fill="FFFFFF"/>
            <w:vAlign w:val="center"/>
          </w:tcPr>
          <w:p w14:paraId="18D58888">
            <w:pPr>
              <w:jc w:val="center"/>
              <w:rPr>
                <w:highlight w:val="none"/>
              </w:rPr>
            </w:pPr>
          </w:p>
        </w:tc>
        <w:tc>
          <w:tcPr>
            <w:tcW w:w="344" w:type="pct"/>
            <w:shd w:val="clear" w:color="auto" w:fill="FFFFFF"/>
            <w:vAlign w:val="center"/>
          </w:tcPr>
          <w:p w14:paraId="35C5F332">
            <w:pPr>
              <w:keepNext w:val="0"/>
              <w:keepLines w:val="0"/>
              <w:widowControl/>
              <w:suppressLineNumbers w:val="0"/>
              <w:jc w:val="left"/>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0"/>
                <w:szCs w:val="20"/>
                <w:highlight w:val="none"/>
                <w:u w:val="none"/>
                <w:lang w:val="en-US" w:eastAsia="zh-CN"/>
              </w:rPr>
              <w:t>经费支付准确率</w:t>
            </w:r>
          </w:p>
        </w:tc>
        <w:tc>
          <w:tcPr>
            <w:tcW w:w="927" w:type="pct"/>
            <w:vMerge w:val="continue"/>
            <w:shd w:val="clear" w:color="000000" w:fill="FFFFFF"/>
            <w:vAlign w:val="center"/>
          </w:tcPr>
          <w:p w14:paraId="5149630E">
            <w:pPr>
              <w:jc w:val="both"/>
              <w:rPr>
                <w:rFonts w:hint="default" w:ascii="Times New Roman" w:hAnsi="Times New Roman" w:cs="Times New Roman"/>
                <w:color w:val="000000"/>
                <w:kern w:val="0"/>
                <w:sz w:val="22"/>
                <w:szCs w:val="22"/>
                <w:highlight w:val="none"/>
              </w:rPr>
            </w:pPr>
          </w:p>
        </w:tc>
        <w:tc>
          <w:tcPr>
            <w:tcW w:w="2051" w:type="pct"/>
            <w:vMerge w:val="continue"/>
            <w:shd w:val="clear" w:color="000000" w:fill="FFFFFF"/>
            <w:vAlign w:val="center"/>
          </w:tcPr>
          <w:p w14:paraId="7A4A99D0">
            <w:pPr>
              <w:jc w:val="left"/>
              <w:rPr>
                <w:rFonts w:hint="default" w:ascii="Times New Roman" w:hAnsi="Times New Roman" w:cs="Times New Roman"/>
                <w:color w:val="000000"/>
                <w:kern w:val="0"/>
                <w:sz w:val="22"/>
                <w:szCs w:val="22"/>
                <w:highlight w:val="none"/>
              </w:rPr>
            </w:pPr>
          </w:p>
        </w:tc>
        <w:tc>
          <w:tcPr>
            <w:tcW w:w="512" w:type="pct"/>
            <w:shd w:val="clear" w:color="000000" w:fill="FFFFFF"/>
            <w:vAlign w:val="center"/>
          </w:tcPr>
          <w:p w14:paraId="4533DAF6">
            <w:pPr>
              <w:widowControl/>
              <w:spacing w:line="0" w:lineRule="atLeast"/>
              <w:jc w:val="center"/>
              <w:rPr>
                <w:rFonts w:hint="eastAsia" w:ascii="Times New Roman" w:hAnsi="Times New Roman" w:eastAsia="宋体" w:cs="Times New Roman"/>
                <w:b/>
                <w:bCs/>
                <w:color w:val="000000"/>
                <w:kern w:val="0"/>
                <w:sz w:val="22"/>
                <w:szCs w:val="22"/>
                <w:highlight w:val="none"/>
                <w:lang w:val="en-US" w:eastAsia="zh-CN"/>
              </w:rPr>
            </w:pPr>
            <w:r>
              <w:rPr>
                <w:rFonts w:hint="eastAsia" w:cs="Times New Roman"/>
                <w:b/>
                <w:bCs/>
                <w:color w:val="000000"/>
                <w:kern w:val="0"/>
                <w:sz w:val="22"/>
                <w:szCs w:val="22"/>
                <w:highlight w:val="none"/>
                <w:lang w:val="en-US" w:eastAsia="zh-CN"/>
              </w:rPr>
              <w:t>5</w:t>
            </w:r>
          </w:p>
        </w:tc>
        <w:tc>
          <w:tcPr>
            <w:tcW w:w="537" w:type="pct"/>
            <w:shd w:val="clear" w:color="000000" w:fill="FFFFFF"/>
            <w:vAlign w:val="center"/>
          </w:tcPr>
          <w:p w14:paraId="5961094D">
            <w:pPr>
              <w:widowControl/>
              <w:spacing w:line="0" w:lineRule="atLeast"/>
              <w:jc w:val="center"/>
              <w:rPr>
                <w:rFonts w:hint="eastAsia" w:ascii="Times New Roman" w:hAnsi="Times New Roman" w:eastAsia="宋体" w:cs="Times New Roman"/>
                <w:b/>
                <w:bCs/>
                <w:color w:val="000000"/>
                <w:kern w:val="0"/>
                <w:sz w:val="22"/>
                <w:szCs w:val="22"/>
                <w:highlight w:val="none"/>
                <w:lang w:val="en-US" w:eastAsia="zh-CN"/>
              </w:rPr>
            </w:pPr>
            <w:r>
              <w:rPr>
                <w:rFonts w:hint="eastAsia" w:cs="Times New Roman"/>
                <w:b/>
                <w:bCs/>
                <w:color w:val="000000"/>
                <w:kern w:val="0"/>
                <w:sz w:val="22"/>
                <w:szCs w:val="22"/>
                <w:highlight w:val="none"/>
                <w:lang w:val="en-US" w:eastAsia="zh-CN"/>
              </w:rPr>
              <w:t>5</w:t>
            </w:r>
          </w:p>
        </w:tc>
      </w:tr>
      <w:tr w14:paraId="678FA3D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6" w:hRule="atLeast"/>
          <w:jc w:val="center"/>
        </w:trPr>
        <w:tc>
          <w:tcPr>
            <w:tcW w:w="326" w:type="pct"/>
            <w:vMerge w:val="continue"/>
            <w:shd w:val="clear" w:color="auto" w:fill="FFFFFF"/>
            <w:vAlign w:val="center"/>
          </w:tcPr>
          <w:p w14:paraId="7BF6419B">
            <w:pPr>
              <w:jc w:val="center"/>
              <w:rPr>
                <w:rFonts w:hint="default" w:ascii="Times New Roman" w:hAnsi="Times New Roman" w:cs="Times New Roman"/>
                <w:color w:val="000000"/>
                <w:kern w:val="0"/>
                <w:sz w:val="22"/>
                <w:szCs w:val="22"/>
                <w:highlight w:val="none"/>
              </w:rPr>
            </w:pPr>
          </w:p>
        </w:tc>
        <w:tc>
          <w:tcPr>
            <w:tcW w:w="301" w:type="pct"/>
            <w:shd w:val="clear" w:color="auto" w:fill="FFFFFF"/>
            <w:vAlign w:val="center"/>
          </w:tcPr>
          <w:p w14:paraId="1439A882">
            <w:pPr>
              <w:keepNext w:val="0"/>
              <w:keepLines w:val="0"/>
              <w:widowControl/>
              <w:suppressLineNumbers w:val="0"/>
              <w:jc w:val="center"/>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0"/>
                <w:szCs w:val="20"/>
                <w:highlight w:val="none"/>
                <w:u w:val="none"/>
                <w:lang w:val="en-US" w:eastAsia="zh-CN"/>
              </w:rPr>
              <w:t>时效指标</w:t>
            </w:r>
          </w:p>
        </w:tc>
        <w:tc>
          <w:tcPr>
            <w:tcW w:w="344" w:type="pct"/>
            <w:shd w:val="clear" w:color="auto" w:fill="FFFFFF"/>
            <w:vAlign w:val="center"/>
          </w:tcPr>
          <w:p w14:paraId="6B6350CD">
            <w:pPr>
              <w:keepNext w:val="0"/>
              <w:keepLines w:val="0"/>
              <w:widowControl/>
              <w:suppressLineNumbers w:val="0"/>
              <w:jc w:val="center"/>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0"/>
                <w:szCs w:val="20"/>
                <w:highlight w:val="none"/>
                <w:u w:val="none"/>
                <w:lang w:val="en-US" w:eastAsia="zh-CN"/>
              </w:rPr>
              <w:t>完成打造时间</w:t>
            </w:r>
          </w:p>
        </w:tc>
        <w:tc>
          <w:tcPr>
            <w:tcW w:w="927" w:type="pct"/>
            <w:shd w:val="clear" w:color="000000" w:fill="FFFFFF"/>
            <w:vAlign w:val="center"/>
          </w:tcPr>
          <w:p w14:paraId="034013C1">
            <w:pPr>
              <w:keepNext w:val="0"/>
              <w:keepLines w:val="0"/>
              <w:widowControl/>
              <w:suppressLineNumbers w:val="0"/>
              <w:jc w:val="both"/>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2"/>
                <w:szCs w:val="22"/>
                <w:highlight w:val="none"/>
                <w:u w:val="none"/>
                <w:lang w:val="en-US" w:eastAsia="zh-CN"/>
              </w:rPr>
              <w:t>项目实际完成时间与计划完成时间的比较，用以反映和考核项目产出时效目标的实现程度。</w:t>
            </w:r>
          </w:p>
        </w:tc>
        <w:tc>
          <w:tcPr>
            <w:tcW w:w="2051" w:type="pct"/>
            <w:shd w:val="clear" w:color="000000" w:fill="FFFFFF"/>
            <w:vAlign w:val="center"/>
          </w:tcPr>
          <w:p w14:paraId="66B6F9F8">
            <w:pPr>
              <w:keepNext w:val="0"/>
              <w:keepLines w:val="0"/>
              <w:widowControl/>
              <w:suppressLineNumbers w:val="0"/>
              <w:jc w:val="left"/>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2"/>
                <w:szCs w:val="22"/>
                <w:highlight w:val="none"/>
                <w:u w:val="none"/>
                <w:lang w:val="en-US" w:eastAsia="zh-CN"/>
              </w:rPr>
              <w:t>实际完成时间：项目实施单位完成该项目实际所耗用的时间。</w:t>
            </w:r>
            <w:r>
              <w:rPr>
                <w:rFonts w:hint="eastAsia" w:ascii="宋体" w:hAnsi="宋体" w:eastAsia="宋体" w:cs="宋体"/>
                <w:i w:val="0"/>
                <w:iCs w:val="0"/>
                <w:color w:val="000000"/>
                <w:kern w:val="0"/>
                <w:sz w:val="22"/>
                <w:szCs w:val="22"/>
                <w:highlight w:val="none"/>
                <w:u w:val="none"/>
                <w:lang w:val="en-US" w:eastAsia="zh-CN"/>
              </w:rPr>
              <w:br w:type="textWrapping"/>
            </w:r>
            <w:r>
              <w:rPr>
                <w:rFonts w:hint="eastAsia" w:ascii="宋体" w:hAnsi="宋体" w:eastAsia="宋体" w:cs="宋体"/>
                <w:i w:val="0"/>
                <w:iCs w:val="0"/>
                <w:color w:val="000000"/>
                <w:kern w:val="0"/>
                <w:sz w:val="22"/>
                <w:szCs w:val="22"/>
                <w:highlight w:val="none"/>
                <w:u w:val="none"/>
                <w:lang w:val="en-US" w:eastAsia="zh-CN"/>
              </w:rPr>
              <w:t>计划完成时间：按照项目实施计划或相关规定完成该项目所需的时间。</w:t>
            </w:r>
          </w:p>
        </w:tc>
        <w:tc>
          <w:tcPr>
            <w:tcW w:w="512" w:type="pct"/>
            <w:shd w:val="clear" w:color="000000" w:fill="FFFFFF"/>
            <w:vAlign w:val="center"/>
          </w:tcPr>
          <w:p w14:paraId="1CBAF553">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537" w:type="pct"/>
            <w:shd w:val="clear" w:color="000000" w:fill="FFFFFF"/>
            <w:vAlign w:val="center"/>
          </w:tcPr>
          <w:p w14:paraId="5F1BC02D">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eastAsia" w:cs="Times New Roman"/>
                <w:b/>
                <w:bCs/>
                <w:color w:val="000000"/>
                <w:kern w:val="0"/>
                <w:sz w:val="22"/>
                <w:szCs w:val="22"/>
                <w:highlight w:val="none"/>
                <w:lang w:val="en-US" w:eastAsia="zh-CN"/>
              </w:rPr>
              <w:t>10</w:t>
            </w:r>
          </w:p>
        </w:tc>
      </w:tr>
      <w:tr w14:paraId="23AD27F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326" w:type="pct"/>
            <w:vMerge w:val="continue"/>
            <w:shd w:val="clear" w:color="auto" w:fill="FFFFFF"/>
            <w:vAlign w:val="center"/>
          </w:tcPr>
          <w:p w14:paraId="45A0546E">
            <w:pPr>
              <w:jc w:val="center"/>
              <w:rPr>
                <w:rFonts w:hint="default" w:ascii="Times New Roman" w:hAnsi="Times New Roman" w:cs="Times New Roman"/>
                <w:color w:val="000000"/>
                <w:kern w:val="0"/>
                <w:sz w:val="22"/>
                <w:szCs w:val="22"/>
                <w:highlight w:val="none"/>
              </w:rPr>
            </w:pPr>
          </w:p>
        </w:tc>
        <w:tc>
          <w:tcPr>
            <w:tcW w:w="301" w:type="pct"/>
            <w:shd w:val="clear" w:color="auto" w:fill="FFFFFF"/>
            <w:vAlign w:val="center"/>
          </w:tcPr>
          <w:p w14:paraId="7DAFBDA9">
            <w:pPr>
              <w:keepNext w:val="0"/>
              <w:keepLines w:val="0"/>
              <w:widowControl/>
              <w:suppressLineNumbers w:val="0"/>
              <w:jc w:val="center"/>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0"/>
                <w:szCs w:val="20"/>
                <w:highlight w:val="none"/>
                <w:u w:val="none"/>
                <w:lang w:val="en-US" w:eastAsia="zh-CN"/>
              </w:rPr>
              <w:t>经济成本指标</w:t>
            </w:r>
          </w:p>
        </w:tc>
        <w:tc>
          <w:tcPr>
            <w:tcW w:w="344" w:type="pct"/>
            <w:shd w:val="clear" w:color="auto" w:fill="FFFFFF"/>
            <w:vAlign w:val="center"/>
          </w:tcPr>
          <w:p w14:paraId="279BAE35">
            <w:pPr>
              <w:keepNext w:val="0"/>
              <w:keepLines w:val="0"/>
              <w:widowControl/>
              <w:suppressLineNumbers w:val="0"/>
              <w:jc w:val="center"/>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0"/>
                <w:szCs w:val="20"/>
                <w:highlight w:val="none"/>
                <w:u w:val="none"/>
                <w:lang w:val="en-US" w:eastAsia="zh-CN"/>
              </w:rPr>
              <w:t>每套用房打造单价</w:t>
            </w:r>
          </w:p>
        </w:tc>
        <w:tc>
          <w:tcPr>
            <w:tcW w:w="927" w:type="pct"/>
            <w:shd w:val="clear" w:color="000000" w:fill="FFFFFF"/>
            <w:vAlign w:val="center"/>
          </w:tcPr>
          <w:p w14:paraId="58D52B07">
            <w:pPr>
              <w:keepNext w:val="0"/>
              <w:keepLines w:val="0"/>
              <w:widowControl/>
              <w:suppressLineNumbers w:val="0"/>
              <w:jc w:val="both"/>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2"/>
                <w:szCs w:val="22"/>
                <w:highlight w:val="none"/>
                <w:u w:val="none"/>
                <w:lang w:val="en-US" w:eastAsia="zh-CN"/>
              </w:rPr>
              <w:t>完成项目计划工作目标的实际节约成本与计划成本的比率，用以反映和考核项目的成本节约程度。</w:t>
            </w:r>
          </w:p>
        </w:tc>
        <w:tc>
          <w:tcPr>
            <w:tcW w:w="2051" w:type="pct"/>
            <w:shd w:val="clear" w:color="000000" w:fill="FFFFFF"/>
            <w:vAlign w:val="center"/>
          </w:tcPr>
          <w:p w14:paraId="363C0CBD">
            <w:pPr>
              <w:keepNext w:val="0"/>
              <w:keepLines w:val="0"/>
              <w:widowControl/>
              <w:suppressLineNumbers w:val="0"/>
              <w:jc w:val="left"/>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2"/>
                <w:szCs w:val="22"/>
                <w:highlight w:val="none"/>
                <w:u w:val="none"/>
                <w:lang w:val="en-US" w:eastAsia="zh-CN"/>
              </w:rPr>
              <w:t>成本节约率=[（计划成本-实际成本）/计划成本]×100%。</w:t>
            </w:r>
            <w:r>
              <w:rPr>
                <w:rFonts w:hint="eastAsia" w:ascii="宋体" w:hAnsi="宋体" w:eastAsia="宋体" w:cs="宋体"/>
                <w:i w:val="0"/>
                <w:iCs w:val="0"/>
                <w:color w:val="000000"/>
                <w:kern w:val="0"/>
                <w:sz w:val="22"/>
                <w:szCs w:val="22"/>
                <w:highlight w:val="none"/>
                <w:u w:val="none"/>
                <w:lang w:val="en-US" w:eastAsia="zh-CN"/>
              </w:rPr>
              <w:br w:type="textWrapping"/>
            </w:r>
            <w:r>
              <w:rPr>
                <w:rFonts w:hint="eastAsia" w:ascii="宋体" w:hAnsi="宋体" w:eastAsia="宋体" w:cs="宋体"/>
                <w:i w:val="0"/>
                <w:iCs w:val="0"/>
                <w:color w:val="000000"/>
                <w:kern w:val="0"/>
                <w:sz w:val="22"/>
                <w:szCs w:val="22"/>
                <w:highlight w:val="none"/>
                <w:u w:val="none"/>
                <w:lang w:val="en-US" w:eastAsia="zh-CN"/>
              </w:rPr>
              <w:t>实际成本：项目实施单位如期、保质、保量完成既定工作目标实际所耗费的支出。</w:t>
            </w:r>
            <w:r>
              <w:rPr>
                <w:rFonts w:hint="eastAsia" w:ascii="宋体" w:hAnsi="宋体" w:eastAsia="宋体" w:cs="宋体"/>
                <w:i w:val="0"/>
                <w:iCs w:val="0"/>
                <w:color w:val="000000"/>
                <w:kern w:val="0"/>
                <w:sz w:val="22"/>
                <w:szCs w:val="22"/>
                <w:highlight w:val="none"/>
                <w:u w:val="none"/>
                <w:lang w:val="en-US" w:eastAsia="zh-CN"/>
              </w:rPr>
              <w:br w:type="textWrapping"/>
            </w:r>
            <w:r>
              <w:rPr>
                <w:rFonts w:hint="eastAsia" w:ascii="宋体" w:hAnsi="宋体" w:eastAsia="宋体" w:cs="宋体"/>
                <w:i w:val="0"/>
                <w:iCs w:val="0"/>
                <w:color w:val="000000"/>
                <w:kern w:val="0"/>
                <w:sz w:val="22"/>
                <w:szCs w:val="22"/>
                <w:highlight w:val="none"/>
                <w:u w:val="none"/>
                <w:lang w:val="en-US" w:eastAsia="zh-CN"/>
              </w:rPr>
              <w:t>计划成本：项目实施单位为完成工作目标计划安排的支出，一般以项目预算为参考。</w:t>
            </w:r>
          </w:p>
        </w:tc>
        <w:tc>
          <w:tcPr>
            <w:tcW w:w="512" w:type="pct"/>
            <w:shd w:val="clear" w:color="000000" w:fill="FFFFFF"/>
            <w:vAlign w:val="center"/>
          </w:tcPr>
          <w:p w14:paraId="52911262">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537" w:type="pct"/>
            <w:shd w:val="clear" w:color="000000" w:fill="FFFFFF"/>
            <w:vAlign w:val="center"/>
          </w:tcPr>
          <w:p w14:paraId="1D1D4031">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eastAsia" w:cs="Times New Roman"/>
                <w:b/>
                <w:bCs/>
                <w:color w:val="000000"/>
                <w:kern w:val="0"/>
                <w:sz w:val="22"/>
                <w:szCs w:val="22"/>
                <w:highlight w:val="none"/>
                <w:lang w:val="en-US" w:eastAsia="zh-CN"/>
              </w:rPr>
              <w:t>10</w:t>
            </w:r>
          </w:p>
        </w:tc>
      </w:tr>
      <w:tr w14:paraId="05E0F81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326" w:type="pct"/>
            <w:vMerge w:val="restart"/>
            <w:shd w:val="clear" w:color="auto" w:fill="FFFFFF"/>
            <w:vAlign w:val="center"/>
          </w:tcPr>
          <w:p w14:paraId="643846FA">
            <w:pPr>
              <w:keepNext w:val="0"/>
              <w:keepLines w:val="0"/>
              <w:widowControl/>
              <w:suppressLineNumbers w:val="0"/>
              <w:jc w:val="center"/>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2"/>
                <w:szCs w:val="22"/>
                <w:highlight w:val="none"/>
                <w:u w:val="none"/>
                <w:lang w:val="en-US" w:eastAsia="zh-CN"/>
              </w:rPr>
              <w:t>效益　</w:t>
            </w:r>
          </w:p>
        </w:tc>
        <w:tc>
          <w:tcPr>
            <w:tcW w:w="301" w:type="pct"/>
            <w:vMerge w:val="restart"/>
            <w:shd w:val="clear" w:color="auto" w:fill="FFFFFF"/>
            <w:vAlign w:val="center"/>
          </w:tcPr>
          <w:p w14:paraId="730F5D3F">
            <w:pPr>
              <w:keepNext w:val="0"/>
              <w:keepLines w:val="0"/>
              <w:widowControl/>
              <w:suppressLineNumbers w:val="0"/>
              <w:jc w:val="center"/>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2"/>
                <w:szCs w:val="22"/>
                <w:highlight w:val="none"/>
                <w:u w:val="none"/>
                <w:lang w:val="en-US" w:eastAsia="zh-CN"/>
              </w:rPr>
              <w:t>项目效益　</w:t>
            </w:r>
          </w:p>
        </w:tc>
        <w:tc>
          <w:tcPr>
            <w:tcW w:w="344" w:type="pct"/>
            <w:shd w:val="clear" w:color="auto" w:fill="FFFFFF"/>
            <w:vAlign w:val="center"/>
          </w:tcPr>
          <w:p w14:paraId="5F720DC8">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提高牧民越冬放牧点用房安全</w:t>
            </w:r>
          </w:p>
        </w:tc>
        <w:tc>
          <w:tcPr>
            <w:tcW w:w="927" w:type="pct"/>
            <w:shd w:val="clear" w:color="auto" w:fill="FFFFFF"/>
            <w:vAlign w:val="center"/>
          </w:tcPr>
          <w:p w14:paraId="4FBDE79F">
            <w:pPr>
              <w:keepNext w:val="0"/>
              <w:keepLines w:val="0"/>
              <w:widowControl/>
              <w:suppressLineNumbers w:val="0"/>
              <w:jc w:val="left"/>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2"/>
                <w:szCs w:val="22"/>
                <w:highlight w:val="none"/>
                <w:u w:val="none"/>
                <w:lang w:val="en-US" w:eastAsia="zh-CN"/>
              </w:rPr>
              <w:t>项目实施所产生的效益。</w:t>
            </w:r>
          </w:p>
        </w:tc>
        <w:tc>
          <w:tcPr>
            <w:tcW w:w="2051" w:type="pct"/>
            <w:shd w:val="clear" w:color="auto" w:fill="FFFFFF"/>
            <w:vAlign w:val="center"/>
          </w:tcPr>
          <w:p w14:paraId="231D85DF">
            <w:pPr>
              <w:keepNext w:val="0"/>
              <w:keepLines w:val="0"/>
              <w:widowControl/>
              <w:suppressLineNumbers w:val="0"/>
              <w:jc w:val="both"/>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2"/>
                <w:szCs w:val="22"/>
                <w:highlight w:val="none"/>
                <w:u w:val="none"/>
                <w:lang w:val="en-US" w:eastAsia="zh-CN"/>
              </w:rPr>
              <w:t>项目实施所产生的社会效益、经济效益、生态效益、可持续影响等。可根据项目实际情况有选择地设置和细化。</w:t>
            </w:r>
          </w:p>
        </w:tc>
        <w:tc>
          <w:tcPr>
            <w:tcW w:w="512" w:type="pct"/>
            <w:shd w:val="clear" w:color="auto" w:fill="FFFFFF"/>
            <w:vAlign w:val="center"/>
          </w:tcPr>
          <w:p w14:paraId="5D7927A0">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537" w:type="pct"/>
            <w:shd w:val="clear" w:color="auto" w:fill="FFFFFF"/>
            <w:vAlign w:val="center"/>
          </w:tcPr>
          <w:p w14:paraId="3AADDF35">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eastAsia" w:cs="Times New Roman"/>
                <w:b/>
                <w:bCs/>
                <w:color w:val="000000"/>
                <w:kern w:val="0"/>
                <w:sz w:val="22"/>
                <w:szCs w:val="22"/>
                <w:highlight w:val="none"/>
                <w:lang w:val="en-US" w:eastAsia="zh-CN"/>
              </w:rPr>
              <w:t>10</w:t>
            </w:r>
          </w:p>
        </w:tc>
      </w:tr>
      <w:tr w14:paraId="1B3CBF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326" w:type="pct"/>
            <w:vMerge w:val="continue"/>
            <w:shd w:val="clear" w:color="auto" w:fill="FFFFFF"/>
            <w:vAlign w:val="center"/>
          </w:tcPr>
          <w:p w14:paraId="4C39BB02">
            <w:pPr>
              <w:jc w:val="center"/>
              <w:rPr>
                <w:rFonts w:hint="default" w:ascii="Times New Roman" w:hAnsi="Times New Roman" w:cs="Times New Roman"/>
                <w:color w:val="000000"/>
                <w:kern w:val="0"/>
                <w:sz w:val="22"/>
                <w:szCs w:val="22"/>
                <w:highlight w:val="none"/>
              </w:rPr>
            </w:pPr>
          </w:p>
        </w:tc>
        <w:tc>
          <w:tcPr>
            <w:tcW w:w="301" w:type="pct"/>
            <w:vMerge w:val="continue"/>
            <w:shd w:val="clear" w:color="auto" w:fill="FFFFFF"/>
            <w:vAlign w:val="center"/>
          </w:tcPr>
          <w:p w14:paraId="3A226DA6">
            <w:pPr>
              <w:jc w:val="center"/>
              <w:rPr>
                <w:rFonts w:hint="default" w:ascii="Times New Roman" w:hAnsi="Times New Roman" w:cs="Times New Roman"/>
                <w:color w:val="000000"/>
                <w:kern w:val="0"/>
                <w:sz w:val="22"/>
                <w:szCs w:val="22"/>
                <w:highlight w:val="none"/>
              </w:rPr>
            </w:pPr>
          </w:p>
        </w:tc>
        <w:tc>
          <w:tcPr>
            <w:tcW w:w="344" w:type="pct"/>
            <w:shd w:val="clear" w:color="auto" w:fill="FFFFFF"/>
            <w:vAlign w:val="center"/>
          </w:tcPr>
          <w:p w14:paraId="463B232D">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rPr>
              <w:t>辖区牧民满意度</w:t>
            </w:r>
          </w:p>
        </w:tc>
        <w:tc>
          <w:tcPr>
            <w:tcW w:w="927" w:type="pct"/>
            <w:shd w:val="clear" w:color="000000" w:fill="FFFFFF"/>
            <w:vAlign w:val="center"/>
          </w:tcPr>
          <w:p w14:paraId="7418167B">
            <w:pPr>
              <w:keepNext w:val="0"/>
              <w:keepLines w:val="0"/>
              <w:widowControl/>
              <w:suppressLineNumbers w:val="0"/>
              <w:jc w:val="both"/>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2"/>
                <w:szCs w:val="22"/>
                <w:highlight w:val="none"/>
                <w:u w:val="none"/>
                <w:lang w:val="en-US" w:eastAsia="zh-CN"/>
              </w:rPr>
              <w:t>社会公众或服务对象对项目实施效果的满意程度。</w:t>
            </w:r>
          </w:p>
        </w:tc>
        <w:tc>
          <w:tcPr>
            <w:tcW w:w="2051" w:type="pct"/>
            <w:shd w:val="clear" w:color="000000" w:fill="FFFFFF"/>
            <w:vAlign w:val="center"/>
          </w:tcPr>
          <w:p w14:paraId="11BBC2B6">
            <w:pPr>
              <w:keepNext w:val="0"/>
              <w:keepLines w:val="0"/>
              <w:widowControl/>
              <w:suppressLineNumbers w:val="0"/>
              <w:jc w:val="both"/>
              <w:textAlignment w:val="center"/>
              <w:rPr>
                <w:rFonts w:hint="default" w:ascii="Times New Roman" w:hAnsi="Times New Roman" w:cs="Times New Roman"/>
                <w:color w:val="000000"/>
                <w:kern w:val="0"/>
                <w:sz w:val="22"/>
                <w:szCs w:val="22"/>
                <w:highlight w:val="none"/>
              </w:rPr>
            </w:pPr>
            <w:r>
              <w:rPr>
                <w:rFonts w:hint="eastAsia" w:ascii="宋体" w:hAnsi="宋体" w:eastAsia="宋体" w:cs="宋体"/>
                <w:i w:val="0"/>
                <w:iCs w:val="0"/>
                <w:color w:val="000000"/>
                <w:kern w:val="0"/>
                <w:sz w:val="22"/>
                <w:szCs w:val="22"/>
                <w:highlight w:val="none"/>
                <w:u w:val="none"/>
                <w:lang w:val="en-US" w:eastAsia="zh-CN"/>
              </w:rPr>
              <w:t>社会公众或服务对象是指因该项目实施而受到影响的部门（单位）、群体或个人。一般采取社会调查的方式。</w:t>
            </w:r>
          </w:p>
        </w:tc>
        <w:tc>
          <w:tcPr>
            <w:tcW w:w="512" w:type="pct"/>
            <w:shd w:val="clear" w:color="000000" w:fill="FFFFFF"/>
            <w:vAlign w:val="center"/>
          </w:tcPr>
          <w:p w14:paraId="51362E27">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537" w:type="pct"/>
            <w:shd w:val="clear" w:color="000000" w:fill="FFFFFF"/>
            <w:vAlign w:val="center"/>
          </w:tcPr>
          <w:p w14:paraId="0D420068">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eastAsia" w:cs="Times New Roman"/>
                <w:b/>
                <w:bCs/>
                <w:color w:val="000000"/>
                <w:kern w:val="0"/>
                <w:sz w:val="22"/>
                <w:szCs w:val="22"/>
                <w:highlight w:val="none"/>
                <w:lang w:val="en-US" w:eastAsia="zh-CN"/>
              </w:rPr>
              <w:t>10</w:t>
            </w:r>
          </w:p>
        </w:tc>
      </w:tr>
    </w:tbl>
    <w:p w14:paraId="7EA615DB">
      <w:pPr>
        <w:ind w:firstLine="12180" w:firstLineChars="5800"/>
        <w:rPr>
          <w:rFonts w:hint="default" w:ascii="Times New Roman" w:hAnsi="Times New Roman" w:eastAsia="宋体" w:cs="Times New Roman"/>
          <w:lang w:val="en-US" w:eastAsia="zh-CN"/>
        </w:rPr>
      </w:pPr>
      <w:r>
        <w:rPr>
          <w:rFonts w:hint="eastAsia" w:cs="Times New Roman"/>
          <w:lang w:val="en-US" w:eastAsia="zh-CN"/>
        </w:rPr>
        <w:t>总分97.15</w:t>
      </w:r>
    </w:p>
    <w:p w14:paraId="73DF4235">
      <w:pPr>
        <w:rPr>
          <w:rFonts w:hint="default"/>
          <w:lang w:val="en-US" w:eastAsia="zh-CN"/>
        </w:rPr>
      </w:pPr>
    </w:p>
    <w:p w14:paraId="5939F60B">
      <w:pPr>
        <w:rPr>
          <w:rFonts w:hint="default"/>
          <w:lang w:val="en-US" w:eastAsia="zh-CN"/>
        </w:rPr>
      </w:pPr>
    </w:p>
    <w:p w14:paraId="3AE438DB">
      <w:pPr>
        <w:rPr>
          <w:rFonts w:hint="default"/>
          <w:lang w:val="en-US" w:eastAsia="zh-CN"/>
        </w:rPr>
      </w:pPr>
    </w:p>
    <w:p w14:paraId="01AFE87A">
      <w:pPr>
        <w:rPr>
          <w:rFonts w:hint="default"/>
          <w:lang w:val="en-US" w:eastAsia="zh-CN"/>
        </w:rPr>
      </w:pPr>
    </w:p>
    <w:p w14:paraId="2B30EF41">
      <w:pPr>
        <w:rPr>
          <w:rFonts w:hint="default"/>
          <w:lang w:val="en-US" w:eastAsia="zh-CN"/>
        </w:rPr>
      </w:pPr>
    </w:p>
    <w:p w14:paraId="41528E39">
      <w:pPr>
        <w:rPr>
          <w:rFonts w:hint="default"/>
          <w:lang w:val="en-US" w:eastAsia="zh-CN"/>
        </w:rPr>
        <w:sectPr>
          <w:type w:val="continuous"/>
          <w:pgSz w:w="16838" w:h="11906" w:orient="landscape"/>
          <w:pgMar w:top="1800" w:right="1440" w:bottom="1558" w:left="1440" w:header="851" w:footer="992" w:gutter="0"/>
          <w:cols w:space="425" w:num="1"/>
          <w:docGrid w:type="lines" w:linePitch="312" w:charSpace="0"/>
        </w:sectPr>
      </w:pPr>
    </w:p>
    <w:p w14:paraId="2B051574">
      <w:pPr>
        <w:rPr>
          <w:rFonts w:hint="default"/>
          <w:lang w:val="en-US" w:eastAsia="zh-CN"/>
        </w:rPr>
      </w:pPr>
    </w:p>
    <w:p w14:paraId="3276D032">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评价方法</w:t>
      </w:r>
    </w:p>
    <w:p w14:paraId="12B31CD3">
      <w:pPr>
        <w:spacing w:line="560" w:lineRule="exact"/>
        <w:ind w:firstLine="708" w:firstLineChars="200"/>
        <w:rPr>
          <w:rFonts w:hint="default" w:ascii="Times New Roman" w:hAnsi="Times New Roman" w:eastAsia="仿宋_GB2312" w:cs="Times New Roman"/>
          <w:color w:val="000000"/>
          <w:spacing w:val="17"/>
          <w:sz w:val="32"/>
          <w:szCs w:val="32"/>
        </w:rPr>
      </w:pPr>
      <w:r>
        <w:rPr>
          <w:rFonts w:hint="eastAsia" w:ascii="Times New Roman" w:hAnsi="Times New Roman" w:eastAsia="仿宋_GB2312" w:cs="Times New Roman"/>
          <w:color w:val="000000"/>
          <w:spacing w:val="17"/>
          <w:sz w:val="32"/>
          <w:szCs w:val="32"/>
        </w:rPr>
        <w:t>《关于印发&lt;项目支出绩效评价管理办法&gt;的通知》（财预〔2020〕10号）文件指出部门评价的方法主要包括成本效益分析法、比较法、因素分析法、最低成本法、公众评判法、标杆管理法等。</w:t>
      </w:r>
    </w:p>
    <w:p w14:paraId="3EA0C793">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017E71F2">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0BAB1558">
      <w:pPr>
        <w:spacing w:line="560" w:lineRule="exact"/>
        <w:ind w:firstLine="708" w:firstLineChars="200"/>
        <w:rPr>
          <w:rFonts w:eastAsia="仿宋_GB2312"/>
          <w:color w:val="000000"/>
          <w:spacing w:val="17"/>
          <w:sz w:val="32"/>
          <w:szCs w:val="32"/>
        </w:rPr>
      </w:pPr>
      <w:r>
        <w:rPr>
          <w:rFonts w:hint="default" w:ascii="Times New Roman" w:hAnsi="Times New Roman" w:eastAsia="仿宋_GB2312" w:cs="Times New Roman"/>
          <w:color w:val="000000"/>
          <w:spacing w:val="17"/>
          <w:sz w:val="32"/>
          <w:szCs w:val="32"/>
          <w:highlight w:val="none"/>
        </w:rPr>
        <w:t>因素分析法</w:t>
      </w:r>
      <w:r>
        <w:rPr>
          <w:rFonts w:hint="eastAsia" w:eastAsia="仿宋_GB2312" w:cs="Times New Roman"/>
          <w:color w:val="000000"/>
          <w:spacing w:val="17"/>
          <w:sz w:val="32"/>
          <w:szCs w:val="32"/>
          <w:highlight w:val="none"/>
          <w:lang w:eastAsia="zh-CN"/>
        </w:rPr>
        <w:t>：</w:t>
      </w:r>
      <w:r>
        <w:rPr>
          <w:rFonts w:eastAsia="仿宋_GB2312"/>
          <w:color w:val="000000"/>
          <w:spacing w:val="17"/>
          <w:sz w:val="32"/>
          <w:szCs w:val="32"/>
          <w:highlight w:val="none"/>
        </w:rPr>
        <w:t>通</w:t>
      </w:r>
      <w:r>
        <w:rPr>
          <w:rFonts w:eastAsia="仿宋_GB2312"/>
          <w:color w:val="000000"/>
          <w:spacing w:val="17"/>
          <w:sz w:val="32"/>
          <w:szCs w:val="32"/>
        </w:rPr>
        <w:t>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23BFB520">
      <w:pPr>
        <w:pStyle w:val="19"/>
        <w:spacing w:line="560" w:lineRule="exact"/>
        <w:ind w:firstLine="64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b/>
          <w:bCs/>
          <w:sz w:val="32"/>
          <w:szCs w:val="32"/>
          <w:highlight w:val="none"/>
        </w:rPr>
        <w:t>4</w:t>
      </w:r>
      <w:r>
        <w:rPr>
          <w:rFonts w:hint="default"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b/>
          <w:bCs/>
          <w:sz w:val="32"/>
          <w:szCs w:val="32"/>
          <w:highlight w:val="none"/>
        </w:rPr>
        <w:t>评价标准</w:t>
      </w:r>
      <w:r>
        <w:rPr>
          <w:rFonts w:hint="default" w:ascii="Times New Roman" w:hAnsi="Times New Roman" w:eastAsia="仿宋_GB2312" w:cs="Times New Roman"/>
          <w:color w:val="000000"/>
          <w:spacing w:val="17"/>
          <w:sz w:val="32"/>
          <w:szCs w:val="32"/>
          <w:highlight w:val="none"/>
        </w:rPr>
        <w:t>。</w:t>
      </w:r>
    </w:p>
    <w:p w14:paraId="135201B3">
      <w:pPr>
        <w:spacing w:line="560" w:lineRule="exact"/>
        <w:ind w:firstLine="640"/>
        <w:rPr>
          <w:rFonts w:hint="default" w:ascii="Times New Roman" w:hAnsi="Times New Roman" w:eastAsia="方正仿宋_GBK" w:cs="Times New Roman"/>
          <w:color w:val="FF0000"/>
          <w:sz w:val="32"/>
          <w:szCs w:val="32"/>
          <w:highlight w:val="none"/>
        </w:rPr>
      </w:pPr>
      <w:r>
        <w:rPr>
          <w:rFonts w:hint="default" w:ascii="Times New Roman" w:hAnsi="Times New Roman" w:eastAsia="方正仿宋_GBK" w:cs="Times New Roman"/>
          <w:sz w:val="32"/>
          <w:szCs w:val="32"/>
          <w:highlight w:val="none"/>
        </w:rPr>
        <w:t>计划标准、行业标准、历史标准等，用于对绩效指标完成情况进行比较、分析、评价。本次评价</w:t>
      </w:r>
      <w:r>
        <w:rPr>
          <w:rFonts w:hint="default" w:ascii="Times New Roman" w:hAnsi="Times New Roman" w:eastAsia="方正仿宋_GBK" w:cs="Times New Roman"/>
          <w:sz w:val="32"/>
          <w:szCs w:val="32"/>
          <w:highlight w:val="none"/>
          <w:lang w:val="en-US" w:eastAsia="zh-CN"/>
        </w:rPr>
        <w:t>计划</w:t>
      </w:r>
      <w:r>
        <w:rPr>
          <w:rFonts w:hint="default" w:ascii="Times New Roman" w:hAnsi="Times New Roman" w:eastAsia="方正仿宋_GBK" w:cs="Times New Roman"/>
          <w:sz w:val="32"/>
          <w:szCs w:val="32"/>
          <w:highlight w:val="none"/>
        </w:rPr>
        <w:t>标准、行业标准、历史标准</w:t>
      </w:r>
      <w:r>
        <w:rPr>
          <w:rFonts w:hint="eastAsia" w:eastAsia="方正仿宋_GBK" w:cs="Times New Roman"/>
          <w:sz w:val="32"/>
          <w:szCs w:val="32"/>
          <w:highlight w:val="none"/>
          <w:lang w:val="en-US" w:eastAsia="zh-CN"/>
        </w:rPr>
        <w:t>均采用</w:t>
      </w:r>
      <w:r>
        <w:rPr>
          <w:rFonts w:hint="default" w:ascii="Times New Roman" w:hAnsi="Times New Roman" w:eastAsia="方正仿宋_GBK" w:cs="Times New Roman"/>
          <w:sz w:val="32"/>
          <w:szCs w:val="32"/>
          <w:highlight w:val="none"/>
        </w:rPr>
        <w:t>。</w:t>
      </w:r>
    </w:p>
    <w:p w14:paraId="3BCD636F">
      <w:pPr>
        <w:spacing w:line="560" w:lineRule="exact"/>
        <w:ind w:firstLine="640"/>
        <w:rPr>
          <w:rFonts w:hint="default" w:ascii="Times New Roman" w:hAnsi="Times New Roman" w:eastAsia="方正仿宋_GBK" w:cs="Times New Roman"/>
          <w:sz w:val="32"/>
          <w:szCs w:val="32"/>
          <w:highlight w:val="none"/>
        </w:rPr>
      </w:pPr>
      <w:bookmarkStart w:id="2" w:name="_Toc17882"/>
      <w:bookmarkStart w:id="3" w:name="_Toc31464"/>
      <w:r>
        <w:rPr>
          <w:rFonts w:hint="default" w:ascii="Times New Roman" w:hAnsi="Times New Roman" w:eastAsia="方正仿宋_GBK" w:cs="Times New Roman"/>
          <w:b/>
          <w:bCs/>
          <w:sz w:val="32"/>
          <w:szCs w:val="32"/>
          <w:highlight w:val="none"/>
        </w:rPr>
        <w:t>计划标准：</w:t>
      </w:r>
      <w:r>
        <w:rPr>
          <w:rFonts w:hint="default" w:ascii="Times New Roman" w:hAnsi="Times New Roman" w:eastAsia="方正仿宋_GBK" w:cs="Times New Roman"/>
          <w:sz w:val="32"/>
          <w:szCs w:val="32"/>
          <w:highlight w:val="none"/>
        </w:rPr>
        <w:t>指以预先制定的目标、计划、预算、定额等作为评价标准。</w:t>
      </w:r>
      <w:bookmarkEnd w:id="2"/>
      <w:bookmarkEnd w:id="3"/>
    </w:p>
    <w:p w14:paraId="159258D2">
      <w:pPr>
        <w:spacing w:line="560" w:lineRule="exact"/>
        <w:ind w:firstLine="640"/>
        <w:rPr>
          <w:rFonts w:hint="default" w:ascii="Times New Roman" w:hAnsi="Times New Roman" w:eastAsia="方正仿宋_GBK" w:cs="Times New Roman"/>
          <w:sz w:val="32"/>
          <w:szCs w:val="32"/>
          <w:highlight w:val="none"/>
        </w:rPr>
      </w:pPr>
      <w:bookmarkStart w:id="4" w:name="_Toc5633"/>
      <w:bookmarkStart w:id="5" w:name="_Toc2318"/>
      <w:r>
        <w:rPr>
          <w:rFonts w:hint="default" w:ascii="Times New Roman" w:hAnsi="Times New Roman" w:eastAsia="方正仿宋_GBK" w:cs="Times New Roman"/>
          <w:b/>
          <w:bCs/>
          <w:sz w:val="32"/>
          <w:szCs w:val="32"/>
          <w:highlight w:val="none"/>
        </w:rPr>
        <w:t>行业标准：</w:t>
      </w:r>
      <w:r>
        <w:rPr>
          <w:rFonts w:hint="default" w:ascii="Times New Roman" w:hAnsi="Times New Roman" w:eastAsia="方正仿宋_GBK" w:cs="Times New Roman"/>
          <w:sz w:val="32"/>
          <w:szCs w:val="32"/>
          <w:highlight w:val="none"/>
        </w:rPr>
        <w:t>指参照国家公布的行业指标数据制定的评价标准。</w:t>
      </w:r>
      <w:bookmarkEnd w:id="4"/>
      <w:bookmarkEnd w:id="5"/>
    </w:p>
    <w:p w14:paraId="1E4DFF18">
      <w:pPr>
        <w:spacing w:line="560" w:lineRule="exact"/>
        <w:ind w:firstLine="640"/>
        <w:rPr>
          <w:rFonts w:hint="default" w:ascii="Times New Roman" w:hAnsi="Times New Roman" w:eastAsia="方正仿宋_GBK" w:cs="Times New Roman"/>
          <w:sz w:val="32"/>
          <w:szCs w:val="32"/>
          <w:highlight w:val="none"/>
        </w:rPr>
      </w:pPr>
      <w:bookmarkStart w:id="6" w:name="_Toc430"/>
      <w:bookmarkStart w:id="7" w:name="_Toc16028"/>
      <w:r>
        <w:rPr>
          <w:rFonts w:hint="default" w:ascii="Times New Roman" w:hAnsi="Times New Roman" w:eastAsia="方正仿宋_GBK" w:cs="Times New Roman"/>
          <w:b/>
          <w:bCs/>
          <w:sz w:val="32"/>
          <w:szCs w:val="32"/>
          <w:highlight w:val="none"/>
        </w:rPr>
        <w:t>历史标准：</w:t>
      </w:r>
      <w:r>
        <w:rPr>
          <w:rFonts w:hint="default" w:ascii="Times New Roman" w:hAnsi="Times New Roman" w:eastAsia="方正仿宋_GBK" w:cs="Times New Roman"/>
          <w:sz w:val="32"/>
          <w:szCs w:val="32"/>
          <w:highlight w:val="none"/>
        </w:rPr>
        <w:t>指参照历史数据制定的评价标准，为体现绩效改进的原则，在可实现的条件下应当确定相对较高的评价标准。</w:t>
      </w:r>
      <w:bookmarkEnd w:id="6"/>
      <w:bookmarkEnd w:id="7"/>
    </w:p>
    <w:p w14:paraId="6C77C68B">
      <w:pPr>
        <w:spacing w:line="560" w:lineRule="exact"/>
        <w:ind w:firstLine="640"/>
        <w:rPr>
          <w:rFonts w:hint="default" w:ascii="Times New Roman" w:hAnsi="Times New Roman" w:eastAsia="方正仿宋_GBK" w:cs="Times New Roman"/>
          <w:sz w:val="32"/>
          <w:szCs w:val="32"/>
          <w:highlight w:val="none"/>
        </w:rPr>
      </w:pPr>
      <w:r>
        <w:rPr>
          <w:rFonts w:hint="eastAsia" w:ascii="Times New Roman" w:hAnsi="Times New Roman" w:eastAsia="方正仿宋_GBK" w:cs="Times New Roman"/>
          <w:sz w:val="32"/>
          <w:szCs w:val="32"/>
          <w:highlight w:val="none"/>
        </w:rPr>
        <w:t>在上述评价标准的基础上，本次评价依据以下文件为重要指导和准绳：</w:t>
      </w:r>
    </w:p>
    <w:p w14:paraId="5FFD1144">
      <w:pPr>
        <w:spacing w:line="560" w:lineRule="exact"/>
        <w:ind w:firstLine="640"/>
        <w:rPr>
          <w:rFonts w:hint="default" w:ascii="Times New Roman" w:hAnsi="Times New Roman" w:eastAsia="方正仿宋_GBK" w:cs="Times New Roman"/>
          <w:sz w:val="32"/>
          <w:szCs w:val="32"/>
          <w:highlight w:val="none"/>
        </w:rPr>
      </w:pPr>
      <w:r>
        <w:rPr>
          <w:rFonts w:hint="eastAsia" w:ascii="Times New Roman" w:hAnsi="Times New Roman" w:eastAsia="方正仿宋_GBK" w:cs="Times New Roman"/>
          <w:sz w:val="32"/>
          <w:szCs w:val="32"/>
          <w:highlight w:val="none"/>
        </w:rPr>
        <w:t>·《中共中央国务院关于全面实施预算绩效管理的意见》（中发〔2018〕34号）</w:t>
      </w:r>
    </w:p>
    <w:p w14:paraId="46DBCFA1">
      <w:pPr>
        <w:spacing w:line="560" w:lineRule="exact"/>
        <w:ind w:firstLine="640"/>
        <w:rPr>
          <w:rFonts w:hint="default" w:ascii="Times New Roman" w:hAnsi="Times New Roman" w:eastAsia="方正仿宋_GBK" w:cs="Times New Roman"/>
          <w:sz w:val="32"/>
          <w:szCs w:val="32"/>
          <w:highlight w:val="none"/>
        </w:rPr>
      </w:pPr>
      <w:r>
        <w:rPr>
          <w:rFonts w:hint="eastAsia" w:ascii="Times New Roman" w:hAnsi="Times New Roman" w:eastAsia="方正仿宋_GBK" w:cs="Times New Roman"/>
          <w:sz w:val="32"/>
          <w:szCs w:val="32"/>
          <w:highlight w:val="none"/>
        </w:rPr>
        <w:t>·《关于印发&lt;乌鲁木齐市本级部门预算绩效目标管理暂行办法&gt;的通知》（乌财预〔2018〕56号）</w:t>
      </w:r>
    </w:p>
    <w:p w14:paraId="4F292286">
      <w:pPr>
        <w:spacing w:line="560" w:lineRule="exact"/>
        <w:ind w:firstLine="640"/>
        <w:rPr>
          <w:rFonts w:hint="default" w:ascii="Times New Roman" w:hAnsi="Times New Roman" w:eastAsia="方正仿宋_GBK" w:cs="Times New Roman"/>
          <w:sz w:val="32"/>
          <w:szCs w:val="32"/>
          <w:highlight w:val="none"/>
        </w:rPr>
      </w:pPr>
      <w:r>
        <w:rPr>
          <w:rFonts w:hint="eastAsia" w:ascii="Times New Roman" w:hAnsi="Times New Roman" w:eastAsia="方正仿宋_GBK" w:cs="Times New Roman"/>
          <w:sz w:val="32"/>
          <w:szCs w:val="32"/>
          <w:highlight w:val="none"/>
        </w:rPr>
        <w:t>·《关于做好2019年部门预算项目支出绩效目标管理有关事宜的通知》（乌财预〔2018〕76号）</w:t>
      </w:r>
    </w:p>
    <w:p w14:paraId="4326669F">
      <w:pPr>
        <w:spacing w:line="560" w:lineRule="exact"/>
        <w:ind w:firstLine="640"/>
        <w:rPr>
          <w:rFonts w:hint="default" w:ascii="Times New Roman" w:hAnsi="Times New Roman" w:eastAsia="方正仿宋_GBK" w:cs="Times New Roman"/>
          <w:sz w:val="32"/>
          <w:szCs w:val="32"/>
          <w:highlight w:val="none"/>
        </w:rPr>
      </w:pPr>
      <w:r>
        <w:rPr>
          <w:rFonts w:hint="eastAsia" w:ascii="Times New Roman" w:hAnsi="Times New Roman" w:eastAsia="方正仿宋_GBK" w:cs="Times New Roman"/>
          <w:sz w:val="32"/>
          <w:szCs w:val="32"/>
          <w:highlight w:val="none"/>
        </w:rPr>
        <w:t>·《项目支出绩效评价管理办法》（财预〔2020〕10号）</w:t>
      </w:r>
    </w:p>
    <w:p w14:paraId="3E2E4519">
      <w:pPr>
        <w:spacing w:line="560" w:lineRule="exact"/>
        <w:ind w:firstLine="640"/>
        <w:rPr>
          <w:rFonts w:hint="default" w:ascii="Times New Roman" w:hAnsi="Times New Roman" w:eastAsia="方正仿宋_GBK" w:cs="Times New Roman"/>
          <w:sz w:val="32"/>
          <w:szCs w:val="32"/>
          <w:highlight w:val="none"/>
        </w:rPr>
      </w:pPr>
      <w:r>
        <w:rPr>
          <w:rFonts w:hint="eastAsia" w:ascii="Times New Roman" w:hAnsi="Times New Roman" w:eastAsia="方正仿宋_GBK" w:cs="Times New Roman"/>
          <w:sz w:val="32"/>
          <w:szCs w:val="32"/>
          <w:highlight w:val="none"/>
        </w:rPr>
        <w:t>·</w:t>
      </w:r>
      <w:r>
        <w:rPr>
          <w:rFonts w:hint="eastAsia" w:ascii="Times New Roman" w:hAnsi="Times New Roman" w:eastAsia="方正仿宋_GBK" w:cs="Times New Roman"/>
          <w:sz w:val="32"/>
          <w:szCs w:val="32"/>
          <w:highlight w:val="none"/>
          <w:lang w:val="en-US" w:eastAsia="zh-CN"/>
        </w:rPr>
        <w:t xml:space="preserve"> </w:t>
      </w:r>
      <w:r>
        <w:rPr>
          <w:rFonts w:hint="eastAsia"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highlight w:val="none"/>
        </w:rPr>
        <w:t>关于下达2024年城乡坑震安居工程建设民生实事资金预算的通知</w:t>
      </w:r>
      <w:r>
        <w:rPr>
          <w:rFonts w:hint="eastAsia"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highlight w:val="none"/>
        </w:rPr>
        <w:t>乌财建[2024]210号</w:t>
      </w:r>
      <w:r>
        <w:rPr>
          <w:rFonts w:hint="eastAsia" w:ascii="Times New Roman" w:hAnsi="Times New Roman" w:eastAsia="方正仿宋_GBK" w:cs="Times New Roman"/>
          <w:sz w:val="32"/>
          <w:szCs w:val="32"/>
          <w:highlight w:val="none"/>
        </w:rPr>
        <w:t>）</w:t>
      </w:r>
    </w:p>
    <w:p w14:paraId="11FF0FF8">
      <w:pPr>
        <w:spacing w:line="560" w:lineRule="exact"/>
        <w:ind w:firstLine="640"/>
        <w:rPr>
          <w:rFonts w:hint="default" w:ascii="Times New Roman" w:hAnsi="Times New Roman" w:eastAsia="方正仿宋_GBK" w:cs="Times New Roman"/>
          <w:sz w:val="32"/>
          <w:szCs w:val="32"/>
          <w:highlight w:val="none"/>
        </w:rPr>
      </w:pPr>
    </w:p>
    <w:p w14:paraId="2D54C322">
      <w:pPr>
        <w:pStyle w:val="8"/>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04049DCA">
      <w:pPr>
        <w:spacing w:line="560" w:lineRule="exact"/>
        <w:ind w:firstLine="643"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
          <w:bCs/>
          <w:sz w:val="32"/>
          <w:szCs w:val="32"/>
        </w:rPr>
        <w:t>1.前期准备</w:t>
      </w:r>
      <w:r>
        <w:rPr>
          <w:rFonts w:hint="default" w:ascii="Times New Roman" w:hAnsi="Times New Roman" w:eastAsia="仿宋_GB2312" w:cs="Times New Roman"/>
          <w:b/>
          <w:bCs/>
          <w:sz w:val="32"/>
          <w:szCs w:val="32"/>
          <w:highlight w:val="none"/>
        </w:rPr>
        <w:t>。</w:t>
      </w:r>
      <w:r>
        <w:rPr>
          <w:rFonts w:hint="default" w:ascii="Times New Roman" w:hAnsi="Times New Roman" w:eastAsia="仿宋_GB2312" w:cs="Times New Roman"/>
          <w:bCs/>
          <w:sz w:val="32"/>
          <w:szCs w:val="32"/>
          <w:highlight w:val="none"/>
        </w:rPr>
        <w:t>首先成立评价工作组，</w:t>
      </w:r>
      <w:r>
        <w:rPr>
          <w:rFonts w:hint="eastAsia" w:eastAsia="仿宋_GB2312" w:cs="Times New Roman"/>
          <w:bCs/>
          <w:sz w:val="32"/>
          <w:szCs w:val="32"/>
          <w:highlight w:val="none"/>
          <w:lang w:val="en-US" w:eastAsia="zh-CN"/>
        </w:rPr>
        <w:t>组长为苏学虔</w:t>
      </w:r>
      <w:r>
        <w:rPr>
          <w:rFonts w:hint="eastAsia" w:eastAsia="仿宋_GB2312" w:cs="Times New Roman"/>
          <w:bCs/>
          <w:sz w:val="32"/>
          <w:szCs w:val="32"/>
          <w:highlight w:val="none"/>
          <w:lang w:eastAsia="zh-CN"/>
        </w:rPr>
        <w:t>，</w:t>
      </w:r>
      <w:r>
        <w:rPr>
          <w:rFonts w:hint="eastAsia" w:eastAsia="仿宋_GB2312" w:cs="Times New Roman"/>
          <w:bCs/>
          <w:sz w:val="32"/>
          <w:szCs w:val="32"/>
          <w:highlight w:val="none"/>
          <w:lang w:val="en-US" w:eastAsia="zh-CN"/>
        </w:rPr>
        <w:t>副组长申克东</w:t>
      </w:r>
      <w:r>
        <w:rPr>
          <w:rFonts w:hint="eastAsia" w:eastAsia="仿宋_GB2312" w:cs="Times New Roman"/>
          <w:bCs/>
          <w:sz w:val="32"/>
          <w:szCs w:val="32"/>
          <w:highlight w:val="none"/>
          <w:lang w:eastAsia="zh-CN"/>
        </w:rPr>
        <w:t>，</w:t>
      </w:r>
      <w:r>
        <w:rPr>
          <w:rFonts w:hint="eastAsia" w:eastAsia="仿宋_GB2312" w:cs="Times New Roman"/>
          <w:bCs/>
          <w:sz w:val="32"/>
          <w:szCs w:val="32"/>
          <w:highlight w:val="none"/>
          <w:lang w:val="en-US" w:eastAsia="zh-CN"/>
        </w:rPr>
        <w:t>组员为班军、徐菲</w:t>
      </w:r>
      <w:r>
        <w:rPr>
          <w:rFonts w:hint="eastAsia"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开展前</w:t>
      </w:r>
      <w:r>
        <w:rPr>
          <w:rFonts w:hint="default" w:ascii="Times New Roman" w:hAnsi="Times New Roman" w:eastAsia="仿宋_GB2312" w:cs="Times New Roman"/>
          <w:bCs/>
          <w:sz w:val="32"/>
          <w:szCs w:val="32"/>
        </w:rPr>
        <w:t>期调研；其次明确项目绩效目标，设计绩效评价指标体系并确定绩效评价方法；接着确定现场和非现场评价范围，设计资料清单；最后制定评价实施方案并进行论证。</w:t>
      </w:r>
    </w:p>
    <w:p w14:paraId="7B5FFAD4">
      <w:pPr>
        <w:spacing w:line="560" w:lineRule="exact"/>
        <w:ind w:firstLine="643"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
          <w:bCs/>
          <w:sz w:val="32"/>
          <w:szCs w:val="32"/>
        </w:rPr>
        <w:t>2.组织实施。</w:t>
      </w:r>
      <w:r>
        <w:rPr>
          <w:rFonts w:hint="default" w:ascii="Times New Roman" w:hAnsi="Times New Roman" w:eastAsia="仿宋_GB2312" w:cs="Times New Roman"/>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0DC8BB8A">
      <w:pPr>
        <w:spacing w:line="560" w:lineRule="exact"/>
        <w:ind w:firstLine="643" w:firstLineChars="200"/>
        <w:rPr>
          <w:rFonts w:hint="default" w:ascii="Times New Roman" w:hAnsi="Times New Roman" w:cs="Times New Roman"/>
          <w:sz w:val="32"/>
          <w:szCs w:val="32"/>
        </w:rPr>
      </w:pPr>
      <w:r>
        <w:rPr>
          <w:rFonts w:hint="default" w:ascii="Times New Roman" w:hAnsi="Times New Roman" w:eastAsia="仿宋_GB2312" w:cs="Times New Roman"/>
          <w:b/>
          <w:bCs/>
          <w:sz w:val="32"/>
          <w:szCs w:val="32"/>
        </w:rPr>
        <w:t>3.分析评价。</w:t>
      </w:r>
      <w:r>
        <w:rPr>
          <w:rFonts w:hint="default" w:ascii="Times New Roman" w:hAnsi="Times New Roman" w:eastAsia="仿宋_GB2312" w:cs="Times New Roman"/>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5189EC1E">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76738FBA">
      <w:pPr>
        <w:pStyle w:val="8"/>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（一）评价情况</w:t>
      </w:r>
    </w:p>
    <w:p w14:paraId="5B862799">
      <w:pPr>
        <w:spacing w:line="600" w:lineRule="exact"/>
        <w:ind w:firstLine="640" w:firstLineChars="200"/>
        <w:outlineLvl w:val="0"/>
        <w:rPr>
          <w:rFonts w:hint="default" w:ascii="Times New Roman" w:hAnsi="Times New Roman" w:eastAsia="仿宋_GB2312" w:cs="Times New Roman"/>
          <w:kern w:val="28"/>
          <w:sz w:val="32"/>
          <w:szCs w:val="32"/>
        </w:rPr>
      </w:pPr>
      <w:r>
        <w:rPr>
          <w:rFonts w:hint="default" w:ascii="Times New Roman" w:hAnsi="Times New Roman" w:eastAsia="仿宋_GB2312" w:cs="Times New Roman"/>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61CE642">
      <w:pPr>
        <w:pStyle w:val="8"/>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（二）评价结论</w:t>
      </w:r>
    </w:p>
    <w:p w14:paraId="7FD7482D">
      <w:pPr>
        <w:pStyle w:val="8"/>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w:t>
      </w:r>
      <w:r>
        <w:rPr>
          <w:rFonts w:hint="default" w:ascii="Times New Roman" w:hAnsi="Times New Roman" w:eastAsia="仿宋_GB2312" w:cs="Times New Roman"/>
          <w:b w:val="0"/>
          <w:bCs w:val="0"/>
          <w:highlight w:val="none"/>
        </w:rPr>
        <w:t xml:space="preserve">通过数据采集、问卷调查及访谈等方式，对本项目进行客观评价，最终评分结果：总得分为 </w:t>
      </w:r>
      <w:r>
        <w:rPr>
          <w:rFonts w:hint="eastAsia" w:ascii="Times New Roman" w:hAnsi="Times New Roman" w:eastAsia="仿宋_GB2312" w:cs="Times New Roman"/>
          <w:b w:val="0"/>
          <w:bCs w:val="0"/>
          <w:highlight w:val="none"/>
          <w:lang w:val="en-US" w:eastAsia="zh-CN"/>
        </w:rPr>
        <w:t>97.15</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17.15</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85.75</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w:t>
      </w:r>
      <w:r>
        <w:rPr>
          <w:rFonts w:hint="default" w:ascii="Times New Roman" w:hAnsi="Times New Roman" w:eastAsia="仿宋_GB2312" w:cs="Times New Roman"/>
          <w:b w:val="0"/>
          <w:bCs w:val="0"/>
          <w:highlight w:val="none"/>
          <w:lang w:val="en-US" w:eastAsia="zh-CN"/>
        </w:rPr>
        <w:t>表</w:t>
      </w:r>
      <w:r>
        <w:rPr>
          <w:rFonts w:hint="default" w:ascii="Times New Roman" w:hAnsi="Times New Roman" w:eastAsia="仿宋_GB2312" w:cs="Times New Roman"/>
          <w:b w:val="0"/>
          <w:bCs w:val="0"/>
          <w:highlight w:val="none"/>
        </w:rPr>
        <w:t>1</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综合评分表。</w:t>
      </w:r>
    </w:p>
    <w:p w14:paraId="68561AB3">
      <w:pPr>
        <w:pStyle w:val="8"/>
        <w:spacing w:before="0" w:after="0"/>
        <w:rPr>
          <w:rFonts w:hint="default" w:ascii="Times New Roman" w:hAnsi="Times New Roman" w:eastAsia="仿宋_GB2312" w:cs="Times New Roman"/>
          <w:sz w:val="30"/>
          <w:szCs w:val="30"/>
          <w:highlight w:val="none"/>
        </w:rPr>
      </w:pPr>
      <w:r>
        <w:rPr>
          <w:rFonts w:hint="default" w:ascii="Times New Roman" w:hAnsi="Times New Roman" w:eastAsia="仿宋_GB2312" w:cs="Times New Roman"/>
          <w:sz w:val="30"/>
          <w:szCs w:val="30"/>
          <w:highlight w:val="none"/>
        </w:rPr>
        <w:t>表1</w:t>
      </w:r>
      <w:r>
        <w:rPr>
          <w:rFonts w:hint="default" w:ascii="Times New Roman" w:hAnsi="Times New Roman" w:eastAsia="仿宋_GB2312" w:cs="Times New Roman"/>
          <w:sz w:val="30"/>
          <w:szCs w:val="30"/>
          <w:highlight w:val="none"/>
          <w:lang w:val="en-US" w:eastAsia="zh-CN"/>
        </w:rPr>
        <w:t>.</w:t>
      </w:r>
      <w:r>
        <w:rPr>
          <w:rFonts w:hint="default" w:ascii="Times New Roman" w:hAnsi="Times New Roman" w:eastAsia="仿宋_GB2312" w:cs="Times New Roman"/>
          <w:sz w:val="30"/>
          <w:szCs w:val="30"/>
          <w:highlight w:val="none"/>
        </w:rPr>
        <w:t>综合评分表</w:t>
      </w:r>
    </w:p>
    <w:tbl>
      <w:tblPr>
        <w:tblStyle w:val="11"/>
        <w:tblW w:w="852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8"/>
        <w:gridCol w:w="1865"/>
        <w:gridCol w:w="2533"/>
        <w:gridCol w:w="844"/>
        <w:gridCol w:w="845"/>
        <w:gridCol w:w="977"/>
      </w:tblGrid>
      <w:tr w14:paraId="1198B54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tblHeader/>
          <w:jc w:val="center"/>
        </w:trPr>
        <w:tc>
          <w:tcPr>
            <w:tcW w:w="1458" w:type="dxa"/>
            <w:tcBorders>
              <w:tl2br w:val="nil"/>
              <w:tr2bl w:val="nil"/>
            </w:tcBorders>
            <w:shd w:val="clear" w:color="auto" w:fill="D0CECE"/>
            <w:vAlign w:val="center"/>
          </w:tcPr>
          <w:p w14:paraId="6F755A3F">
            <w:pPr>
              <w:widowControl/>
              <w:ind w:firstLine="0" w:firstLineChars="0"/>
              <w:jc w:val="center"/>
              <w:rPr>
                <w:rFonts w:ascii="Times New Roman" w:hAnsi="Times New Roman" w:eastAsia="黑体" w:cs="Times New Roman"/>
                <w:kern w:val="0"/>
                <w:sz w:val="22"/>
                <w:highlight w:val="none"/>
              </w:rPr>
            </w:pPr>
            <w:r>
              <w:rPr>
                <w:rFonts w:ascii="Times New Roman" w:hAnsi="Times New Roman" w:eastAsia="黑体" w:cs="Times New Roman"/>
                <w:kern w:val="0"/>
                <w:sz w:val="22"/>
                <w:highlight w:val="none"/>
              </w:rPr>
              <w:t>一级指标</w:t>
            </w:r>
          </w:p>
        </w:tc>
        <w:tc>
          <w:tcPr>
            <w:tcW w:w="1865" w:type="dxa"/>
            <w:tcBorders>
              <w:tl2br w:val="nil"/>
              <w:tr2bl w:val="nil"/>
            </w:tcBorders>
            <w:shd w:val="clear" w:color="auto" w:fill="D0CECE"/>
            <w:vAlign w:val="center"/>
          </w:tcPr>
          <w:p w14:paraId="1B7A3C28">
            <w:pPr>
              <w:widowControl/>
              <w:ind w:firstLine="0" w:firstLineChars="0"/>
              <w:jc w:val="center"/>
              <w:rPr>
                <w:rFonts w:ascii="Times New Roman" w:hAnsi="Times New Roman" w:eastAsia="黑体" w:cs="Times New Roman"/>
                <w:kern w:val="0"/>
                <w:sz w:val="22"/>
                <w:highlight w:val="none"/>
              </w:rPr>
            </w:pPr>
            <w:r>
              <w:rPr>
                <w:rFonts w:ascii="Times New Roman" w:hAnsi="Times New Roman" w:eastAsia="黑体" w:cs="Times New Roman"/>
                <w:kern w:val="0"/>
                <w:sz w:val="22"/>
                <w:highlight w:val="none"/>
              </w:rPr>
              <w:t>二级指标</w:t>
            </w:r>
          </w:p>
        </w:tc>
        <w:tc>
          <w:tcPr>
            <w:tcW w:w="2533" w:type="dxa"/>
            <w:tcBorders>
              <w:tl2br w:val="nil"/>
              <w:tr2bl w:val="nil"/>
            </w:tcBorders>
            <w:shd w:val="clear" w:color="auto" w:fill="D0CECE"/>
            <w:vAlign w:val="center"/>
          </w:tcPr>
          <w:p w14:paraId="3A5919E0">
            <w:pPr>
              <w:widowControl/>
              <w:ind w:firstLine="0" w:firstLineChars="0"/>
              <w:jc w:val="center"/>
              <w:rPr>
                <w:rFonts w:ascii="Times New Roman" w:hAnsi="Times New Roman" w:eastAsia="黑体" w:cs="Times New Roman"/>
                <w:kern w:val="0"/>
                <w:sz w:val="22"/>
                <w:highlight w:val="none"/>
              </w:rPr>
            </w:pPr>
            <w:r>
              <w:rPr>
                <w:rFonts w:ascii="Times New Roman" w:hAnsi="Times New Roman" w:eastAsia="黑体" w:cs="Times New Roman"/>
                <w:kern w:val="0"/>
                <w:sz w:val="22"/>
                <w:highlight w:val="none"/>
              </w:rPr>
              <w:t>三级指标</w:t>
            </w:r>
          </w:p>
        </w:tc>
        <w:tc>
          <w:tcPr>
            <w:tcW w:w="844" w:type="dxa"/>
            <w:tcBorders>
              <w:tl2br w:val="nil"/>
              <w:tr2bl w:val="nil"/>
            </w:tcBorders>
            <w:shd w:val="clear" w:color="auto" w:fill="D0CECE"/>
            <w:vAlign w:val="center"/>
          </w:tcPr>
          <w:p w14:paraId="4455164F">
            <w:pPr>
              <w:widowControl/>
              <w:ind w:firstLine="0" w:firstLineChars="0"/>
              <w:jc w:val="center"/>
              <w:rPr>
                <w:rFonts w:ascii="Times New Roman" w:hAnsi="Times New Roman" w:eastAsia="黑体" w:cs="Times New Roman"/>
                <w:kern w:val="0"/>
                <w:sz w:val="22"/>
                <w:highlight w:val="none"/>
              </w:rPr>
            </w:pPr>
            <w:r>
              <w:rPr>
                <w:rFonts w:ascii="Times New Roman" w:hAnsi="Times New Roman" w:eastAsia="黑体" w:cs="Times New Roman"/>
                <w:kern w:val="0"/>
                <w:sz w:val="22"/>
                <w:highlight w:val="none"/>
              </w:rPr>
              <w:t>分值</w:t>
            </w:r>
          </w:p>
        </w:tc>
        <w:tc>
          <w:tcPr>
            <w:tcW w:w="845" w:type="dxa"/>
            <w:tcBorders>
              <w:tl2br w:val="nil"/>
              <w:tr2bl w:val="nil"/>
            </w:tcBorders>
            <w:shd w:val="clear" w:color="auto" w:fill="D0CECE"/>
            <w:vAlign w:val="center"/>
          </w:tcPr>
          <w:p w14:paraId="15C4FB71">
            <w:pPr>
              <w:widowControl/>
              <w:ind w:firstLine="0" w:firstLineChars="0"/>
              <w:jc w:val="center"/>
              <w:rPr>
                <w:rFonts w:ascii="Times New Roman" w:hAnsi="Times New Roman" w:eastAsia="黑体" w:cs="Times New Roman"/>
                <w:kern w:val="0"/>
                <w:sz w:val="22"/>
                <w:highlight w:val="none"/>
              </w:rPr>
            </w:pPr>
            <w:r>
              <w:rPr>
                <w:rFonts w:ascii="Times New Roman" w:hAnsi="Times New Roman" w:eastAsia="黑体" w:cs="Times New Roman"/>
                <w:kern w:val="0"/>
                <w:sz w:val="22"/>
                <w:highlight w:val="none"/>
              </w:rPr>
              <w:t>得分</w:t>
            </w:r>
          </w:p>
        </w:tc>
        <w:tc>
          <w:tcPr>
            <w:tcW w:w="977" w:type="dxa"/>
            <w:tcBorders>
              <w:tl2br w:val="nil"/>
              <w:tr2bl w:val="nil"/>
            </w:tcBorders>
            <w:shd w:val="clear" w:color="auto" w:fill="D0CECE"/>
            <w:vAlign w:val="center"/>
          </w:tcPr>
          <w:p w14:paraId="7BAEF391">
            <w:pPr>
              <w:widowControl/>
              <w:ind w:firstLine="0" w:firstLineChars="0"/>
              <w:jc w:val="center"/>
              <w:rPr>
                <w:rFonts w:ascii="Times New Roman" w:hAnsi="Times New Roman" w:eastAsia="黑体" w:cs="Times New Roman"/>
                <w:kern w:val="0"/>
                <w:sz w:val="22"/>
                <w:highlight w:val="none"/>
              </w:rPr>
            </w:pPr>
            <w:r>
              <w:rPr>
                <w:rFonts w:ascii="Times New Roman" w:hAnsi="Times New Roman" w:eastAsia="黑体" w:cs="Times New Roman"/>
                <w:kern w:val="0"/>
                <w:sz w:val="22"/>
                <w:highlight w:val="none"/>
              </w:rPr>
              <w:t>得分率</w:t>
            </w:r>
          </w:p>
        </w:tc>
      </w:tr>
      <w:tr w14:paraId="293C9B2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14:paraId="21F9056F">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决策</w:t>
            </w:r>
          </w:p>
        </w:tc>
        <w:tc>
          <w:tcPr>
            <w:tcW w:w="1865" w:type="dxa"/>
            <w:vMerge w:val="restart"/>
            <w:tcBorders>
              <w:tl2br w:val="nil"/>
              <w:tr2bl w:val="nil"/>
            </w:tcBorders>
            <w:shd w:val="clear" w:color="auto" w:fill="FFFFFF"/>
            <w:vAlign w:val="center"/>
          </w:tcPr>
          <w:p w14:paraId="2AB10005">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项目立项</w:t>
            </w:r>
          </w:p>
        </w:tc>
        <w:tc>
          <w:tcPr>
            <w:tcW w:w="2533" w:type="dxa"/>
            <w:tcBorders>
              <w:tl2br w:val="nil"/>
              <w:tr2bl w:val="nil"/>
            </w:tcBorders>
            <w:shd w:val="clear" w:color="auto" w:fill="FFFFFF"/>
            <w:vAlign w:val="center"/>
          </w:tcPr>
          <w:p w14:paraId="3D71A66C">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立项依据充分性</w:t>
            </w:r>
          </w:p>
        </w:tc>
        <w:tc>
          <w:tcPr>
            <w:tcW w:w="844" w:type="dxa"/>
            <w:tcBorders>
              <w:tl2br w:val="nil"/>
              <w:tr2bl w:val="nil"/>
            </w:tcBorders>
            <w:shd w:val="clear" w:color="auto" w:fill="FFFFFF"/>
            <w:vAlign w:val="center"/>
          </w:tcPr>
          <w:p w14:paraId="56D16E31">
            <w:pPr>
              <w:widowControl/>
              <w:spacing w:line="0" w:lineRule="atLeast"/>
              <w:jc w:val="center"/>
              <w:rPr>
                <w:rFonts w:ascii="Times New Roman" w:hAnsi="Times New Roman" w:cs="Times New Roman"/>
                <w:kern w:val="0"/>
                <w:sz w:val="22"/>
                <w:highlight w:val="none"/>
              </w:rPr>
            </w:pPr>
            <w:r>
              <w:rPr>
                <w:rFonts w:hint="default" w:ascii="Times New Roman" w:hAnsi="Times New Roman" w:cs="Times New Roman"/>
                <w:b/>
                <w:bCs/>
                <w:color w:val="000000"/>
                <w:kern w:val="0"/>
                <w:sz w:val="22"/>
                <w:szCs w:val="22"/>
                <w:highlight w:val="none"/>
              </w:rPr>
              <w:t>3</w:t>
            </w:r>
          </w:p>
        </w:tc>
        <w:tc>
          <w:tcPr>
            <w:tcW w:w="845" w:type="dxa"/>
            <w:tcBorders>
              <w:tl2br w:val="nil"/>
              <w:tr2bl w:val="nil"/>
            </w:tcBorders>
            <w:shd w:val="clear" w:color="auto" w:fill="FFFFFF"/>
            <w:vAlign w:val="center"/>
          </w:tcPr>
          <w:p w14:paraId="14ED7A22">
            <w:pPr>
              <w:widowControl/>
              <w:spacing w:line="0" w:lineRule="atLeast"/>
              <w:jc w:val="center"/>
              <w:rPr>
                <w:rFonts w:ascii="Times New Roman" w:hAnsi="Times New Roman" w:cs="Times New Roman"/>
                <w:kern w:val="0"/>
                <w:sz w:val="22"/>
                <w:highlight w:val="none"/>
              </w:rPr>
            </w:pPr>
            <w:r>
              <w:rPr>
                <w:rFonts w:hint="eastAsia" w:cs="Times New Roman"/>
                <w:b/>
                <w:bCs/>
                <w:color w:val="000000"/>
                <w:kern w:val="0"/>
                <w:sz w:val="22"/>
                <w:szCs w:val="22"/>
                <w:highlight w:val="none"/>
                <w:lang w:val="en-US" w:eastAsia="zh-CN"/>
              </w:rPr>
              <w:t>3</w:t>
            </w:r>
          </w:p>
        </w:tc>
        <w:tc>
          <w:tcPr>
            <w:tcW w:w="977" w:type="dxa"/>
            <w:tcBorders>
              <w:tl2br w:val="nil"/>
              <w:tr2bl w:val="nil"/>
            </w:tcBorders>
            <w:shd w:val="clear" w:color="auto" w:fill="FFFFFF"/>
            <w:vAlign w:val="center"/>
          </w:tcPr>
          <w:p w14:paraId="45ACDCF7">
            <w:pPr>
              <w:widowControl/>
              <w:ind w:firstLine="0" w:firstLineChars="0"/>
              <w:jc w:val="center"/>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3F2E8C9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2EF51D53">
            <w:pPr>
              <w:ind w:firstLine="44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14:paraId="2A72FB0E">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14:paraId="72698E22">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立项程序规范性</w:t>
            </w:r>
          </w:p>
        </w:tc>
        <w:tc>
          <w:tcPr>
            <w:tcW w:w="844" w:type="dxa"/>
            <w:tcBorders>
              <w:tl2br w:val="nil"/>
              <w:tr2bl w:val="nil"/>
            </w:tcBorders>
            <w:shd w:val="clear" w:color="auto" w:fill="FFFFFF"/>
            <w:vAlign w:val="center"/>
          </w:tcPr>
          <w:p w14:paraId="2695942E">
            <w:pPr>
              <w:widowControl/>
              <w:spacing w:line="0" w:lineRule="atLeast"/>
              <w:jc w:val="center"/>
              <w:rPr>
                <w:rFonts w:ascii="Times New Roman" w:hAnsi="Times New Roman" w:cs="Times New Roman"/>
                <w:kern w:val="0"/>
                <w:sz w:val="22"/>
                <w:highlight w:val="none"/>
              </w:rPr>
            </w:pPr>
            <w:r>
              <w:rPr>
                <w:rFonts w:hint="default" w:ascii="Times New Roman" w:hAnsi="Times New Roman" w:cs="Times New Roman"/>
                <w:b/>
                <w:bCs/>
                <w:color w:val="000000"/>
                <w:kern w:val="0"/>
                <w:sz w:val="22"/>
                <w:szCs w:val="22"/>
                <w:highlight w:val="none"/>
              </w:rPr>
              <w:t>3</w:t>
            </w:r>
          </w:p>
        </w:tc>
        <w:tc>
          <w:tcPr>
            <w:tcW w:w="845" w:type="dxa"/>
            <w:tcBorders>
              <w:tl2br w:val="nil"/>
              <w:tr2bl w:val="nil"/>
            </w:tcBorders>
            <w:shd w:val="clear" w:color="auto" w:fill="FFFFFF"/>
            <w:vAlign w:val="center"/>
          </w:tcPr>
          <w:p w14:paraId="56E8056B">
            <w:pPr>
              <w:widowControl/>
              <w:spacing w:line="0" w:lineRule="atLeast"/>
              <w:jc w:val="center"/>
              <w:rPr>
                <w:rFonts w:ascii="Times New Roman" w:hAnsi="Times New Roman" w:cs="Times New Roman"/>
                <w:kern w:val="0"/>
                <w:sz w:val="22"/>
                <w:highlight w:val="none"/>
              </w:rPr>
            </w:pPr>
            <w:r>
              <w:rPr>
                <w:rFonts w:hint="eastAsia" w:cs="Times New Roman"/>
                <w:b/>
                <w:bCs/>
                <w:color w:val="000000"/>
                <w:kern w:val="0"/>
                <w:sz w:val="22"/>
                <w:szCs w:val="22"/>
                <w:highlight w:val="none"/>
                <w:lang w:val="en-US" w:eastAsia="zh-CN"/>
              </w:rPr>
              <w:t>3</w:t>
            </w:r>
          </w:p>
        </w:tc>
        <w:tc>
          <w:tcPr>
            <w:tcW w:w="977" w:type="dxa"/>
            <w:tcBorders>
              <w:tl2br w:val="nil"/>
              <w:tr2bl w:val="nil"/>
            </w:tcBorders>
            <w:shd w:val="clear" w:color="auto" w:fill="FFFFFF"/>
            <w:vAlign w:val="center"/>
          </w:tcPr>
          <w:p w14:paraId="4EAD9C2B">
            <w:pPr>
              <w:widowControl/>
              <w:ind w:firstLine="0" w:firstLineChars="0"/>
              <w:jc w:val="center"/>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1119E33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007D9E29">
            <w:pPr>
              <w:ind w:firstLine="440"/>
              <w:jc w:val="center"/>
              <w:rPr>
                <w:rFonts w:ascii="Times New Roman" w:hAnsi="Times New Roman" w:cs="Times New Roman"/>
                <w:kern w:val="0"/>
                <w:sz w:val="22"/>
                <w:highlight w:val="none"/>
              </w:rPr>
            </w:pPr>
          </w:p>
        </w:tc>
        <w:tc>
          <w:tcPr>
            <w:tcW w:w="1865" w:type="dxa"/>
            <w:vMerge w:val="restart"/>
            <w:tcBorders>
              <w:tl2br w:val="nil"/>
              <w:tr2bl w:val="nil"/>
            </w:tcBorders>
            <w:shd w:val="clear" w:color="auto" w:fill="FFFFFF"/>
            <w:vAlign w:val="center"/>
          </w:tcPr>
          <w:p w14:paraId="2578CB55">
            <w:pPr>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绩效目标</w:t>
            </w:r>
          </w:p>
        </w:tc>
        <w:tc>
          <w:tcPr>
            <w:tcW w:w="2533" w:type="dxa"/>
            <w:tcBorders>
              <w:tl2br w:val="nil"/>
              <w:tr2bl w:val="nil"/>
            </w:tcBorders>
            <w:shd w:val="clear" w:color="auto" w:fill="FFFFFF"/>
            <w:vAlign w:val="center"/>
          </w:tcPr>
          <w:p w14:paraId="269B736D">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绩效目标合理性</w:t>
            </w:r>
          </w:p>
        </w:tc>
        <w:tc>
          <w:tcPr>
            <w:tcW w:w="844" w:type="dxa"/>
            <w:tcBorders>
              <w:tl2br w:val="nil"/>
              <w:tr2bl w:val="nil"/>
            </w:tcBorders>
            <w:shd w:val="clear" w:color="000000" w:fill="FFFFFF"/>
            <w:vAlign w:val="center"/>
          </w:tcPr>
          <w:p w14:paraId="392306C8">
            <w:pPr>
              <w:widowControl/>
              <w:spacing w:line="0" w:lineRule="atLeast"/>
              <w:jc w:val="center"/>
              <w:rPr>
                <w:rFonts w:ascii="Times New Roman" w:hAnsi="Times New Roman" w:cs="Times New Roman"/>
                <w:kern w:val="0"/>
                <w:sz w:val="22"/>
                <w:highlight w:val="none"/>
              </w:rPr>
            </w:pPr>
            <w:r>
              <w:rPr>
                <w:rFonts w:hint="default" w:ascii="Times New Roman" w:hAnsi="Times New Roman" w:cs="Times New Roman"/>
                <w:b/>
                <w:bCs/>
                <w:color w:val="000000"/>
                <w:kern w:val="0"/>
                <w:sz w:val="22"/>
                <w:szCs w:val="22"/>
                <w:highlight w:val="none"/>
              </w:rPr>
              <w:t>3</w:t>
            </w:r>
          </w:p>
        </w:tc>
        <w:tc>
          <w:tcPr>
            <w:tcW w:w="845" w:type="dxa"/>
            <w:tcBorders>
              <w:tl2br w:val="nil"/>
              <w:tr2bl w:val="nil"/>
            </w:tcBorders>
            <w:shd w:val="clear" w:color="000000" w:fill="FFFFFF"/>
            <w:vAlign w:val="center"/>
          </w:tcPr>
          <w:p w14:paraId="58C17297">
            <w:pPr>
              <w:widowControl/>
              <w:spacing w:line="0" w:lineRule="atLeast"/>
              <w:jc w:val="center"/>
              <w:rPr>
                <w:rFonts w:ascii="Times New Roman" w:hAnsi="Times New Roman" w:cs="Times New Roman"/>
                <w:kern w:val="0"/>
                <w:sz w:val="22"/>
                <w:highlight w:val="none"/>
              </w:rPr>
            </w:pPr>
            <w:r>
              <w:rPr>
                <w:rFonts w:hint="eastAsia" w:cs="Times New Roman"/>
                <w:b/>
                <w:bCs/>
                <w:color w:val="000000"/>
                <w:kern w:val="0"/>
                <w:sz w:val="22"/>
                <w:szCs w:val="22"/>
                <w:highlight w:val="none"/>
                <w:lang w:val="en-US" w:eastAsia="zh-CN"/>
              </w:rPr>
              <w:t>3</w:t>
            </w:r>
          </w:p>
        </w:tc>
        <w:tc>
          <w:tcPr>
            <w:tcW w:w="977" w:type="dxa"/>
            <w:tcBorders>
              <w:tl2br w:val="nil"/>
              <w:tr2bl w:val="nil"/>
            </w:tcBorders>
            <w:shd w:val="clear" w:color="000000" w:fill="FFFFFF"/>
            <w:vAlign w:val="center"/>
          </w:tcPr>
          <w:p w14:paraId="1621E6A7">
            <w:pPr>
              <w:widowControl/>
              <w:ind w:firstLine="0" w:firstLineChars="0"/>
              <w:jc w:val="center"/>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3835E4C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1EC5B869">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14:paraId="78B7F297">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14:paraId="601AF619">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绩效指标明确性</w:t>
            </w:r>
          </w:p>
        </w:tc>
        <w:tc>
          <w:tcPr>
            <w:tcW w:w="844" w:type="dxa"/>
            <w:tcBorders>
              <w:tl2br w:val="nil"/>
              <w:tr2bl w:val="nil"/>
            </w:tcBorders>
            <w:shd w:val="clear" w:color="000000" w:fill="FFFFFF"/>
            <w:vAlign w:val="center"/>
          </w:tcPr>
          <w:p w14:paraId="5BB898E7">
            <w:pPr>
              <w:widowControl/>
              <w:spacing w:line="0" w:lineRule="atLeast"/>
              <w:jc w:val="center"/>
              <w:rPr>
                <w:rFonts w:ascii="Times New Roman" w:hAnsi="Times New Roman" w:cs="Times New Roman"/>
                <w:kern w:val="0"/>
                <w:sz w:val="22"/>
                <w:highlight w:val="none"/>
              </w:rPr>
            </w:pPr>
            <w:r>
              <w:rPr>
                <w:rFonts w:hint="default" w:ascii="Times New Roman" w:hAnsi="Times New Roman" w:cs="Times New Roman"/>
                <w:b/>
                <w:bCs/>
                <w:color w:val="000000"/>
                <w:kern w:val="0"/>
                <w:sz w:val="22"/>
                <w:szCs w:val="22"/>
                <w:highlight w:val="none"/>
              </w:rPr>
              <w:t>3</w:t>
            </w:r>
          </w:p>
        </w:tc>
        <w:tc>
          <w:tcPr>
            <w:tcW w:w="845" w:type="dxa"/>
            <w:tcBorders>
              <w:tl2br w:val="nil"/>
              <w:tr2bl w:val="nil"/>
            </w:tcBorders>
            <w:shd w:val="clear" w:color="000000" w:fill="FFFFFF"/>
            <w:vAlign w:val="center"/>
          </w:tcPr>
          <w:p w14:paraId="0AD63579">
            <w:pPr>
              <w:widowControl/>
              <w:spacing w:line="0" w:lineRule="atLeast"/>
              <w:jc w:val="center"/>
              <w:rPr>
                <w:rFonts w:ascii="Times New Roman" w:hAnsi="Times New Roman" w:cs="Times New Roman"/>
                <w:kern w:val="0"/>
                <w:sz w:val="22"/>
                <w:highlight w:val="none"/>
              </w:rPr>
            </w:pPr>
            <w:r>
              <w:rPr>
                <w:rFonts w:hint="eastAsia" w:cs="Times New Roman"/>
                <w:b/>
                <w:bCs/>
                <w:color w:val="000000"/>
                <w:kern w:val="0"/>
                <w:sz w:val="22"/>
                <w:szCs w:val="22"/>
                <w:highlight w:val="none"/>
                <w:lang w:val="en-US" w:eastAsia="zh-CN"/>
              </w:rPr>
              <w:t>3</w:t>
            </w:r>
          </w:p>
        </w:tc>
        <w:tc>
          <w:tcPr>
            <w:tcW w:w="977" w:type="dxa"/>
            <w:tcBorders>
              <w:tl2br w:val="nil"/>
              <w:tr2bl w:val="nil"/>
            </w:tcBorders>
            <w:shd w:val="clear" w:color="000000" w:fill="FFFFFF"/>
            <w:vAlign w:val="center"/>
          </w:tcPr>
          <w:p w14:paraId="2FCF7BD0">
            <w:pPr>
              <w:widowControl/>
              <w:ind w:firstLine="0" w:firstLineChars="0"/>
              <w:jc w:val="center"/>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231A5F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76F3E01F">
            <w:pPr>
              <w:ind w:firstLine="0" w:firstLineChars="0"/>
              <w:jc w:val="center"/>
              <w:rPr>
                <w:rFonts w:ascii="Times New Roman" w:hAnsi="Times New Roman" w:cs="Times New Roman"/>
                <w:kern w:val="0"/>
                <w:sz w:val="22"/>
                <w:highlight w:val="none"/>
              </w:rPr>
            </w:pPr>
          </w:p>
        </w:tc>
        <w:tc>
          <w:tcPr>
            <w:tcW w:w="1865" w:type="dxa"/>
            <w:vMerge w:val="restart"/>
            <w:tcBorders>
              <w:tl2br w:val="nil"/>
              <w:tr2bl w:val="nil"/>
            </w:tcBorders>
            <w:shd w:val="clear" w:color="auto" w:fill="FFFFFF"/>
            <w:vAlign w:val="center"/>
          </w:tcPr>
          <w:p w14:paraId="45F6B670">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资金投入</w:t>
            </w:r>
          </w:p>
        </w:tc>
        <w:tc>
          <w:tcPr>
            <w:tcW w:w="2533" w:type="dxa"/>
            <w:tcBorders>
              <w:tl2br w:val="nil"/>
              <w:tr2bl w:val="nil"/>
            </w:tcBorders>
            <w:shd w:val="clear" w:color="auto" w:fill="FFFFFF"/>
            <w:vAlign w:val="center"/>
          </w:tcPr>
          <w:p w14:paraId="6C81C0A5">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预算编制科学性</w:t>
            </w:r>
          </w:p>
        </w:tc>
        <w:tc>
          <w:tcPr>
            <w:tcW w:w="844" w:type="dxa"/>
            <w:tcBorders>
              <w:tl2br w:val="nil"/>
              <w:tr2bl w:val="nil"/>
            </w:tcBorders>
            <w:shd w:val="clear" w:color="auto" w:fill="FFFFFF"/>
            <w:vAlign w:val="center"/>
          </w:tcPr>
          <w:p w14:paraId="43B9408E">
            <w:pPr>
              <w:widowControl/>
              <w:spacing w:line="0" w:lineRule="atLeast"/>
              <w:jc w:val="center"/>
              <w:rPr>
                <w:rFonts w:ascii="Times New Roman" w:hAnsi="Times New Roman" w:cs="Times New Roman"/>
                <w:kern w:val="0"/>
                <w:sz w:val="22"/>
                <w:highlight w:val="none"/>
              </w:rPr>
            </w:pPr>
            <w:r>
              <w:rPr>
                <w:rFonts w:hint="default" w:ascii="Times New Roman" w:hAnsi="Times New Roman" w:cs="Times New Roman"/>
                <w:b/>
                <w:bCs/>
                <w:color w:val="000000"/>
                <w:kern w:val="0"/>
                <w:sz w:val="22"/>
                <w:szCs w:val="22"/>
                <w:highlight w:val="none"/>
              </w:rPr>
              <w:t>4</w:t>
            </w:r>
          </w:p>
        </w:tc>
        <w:tc>
          <w:tcPr>
            <w:tcW w:w="845" w:type="dxa"/>
            <w:tcBorders>
              <w:tl2br w:val="nil"/>
              <w:tr2bl w:val="nil"/>
            </w:tcBorders>
            <w:shd w:val="clear" w:color="auto" w:fill="FFFFFF"/>
            <w:vAlign w:val="center"/>
          </w:tcPr>
          <w:p w14:paraId="5650C57A">
            <w:pPr>
              <w:widowControl/>
              <w:spacing w:line="0" w:lineRule="atLeast"/>
              <w:jc w:val="center"/>
              <w:rPr>
                <w:rFonts w:ascii="Times New Roman" w:hAnsi="Times New Roman" w:cs="Times New Roman"/>
                <w:kern w:val="0"/>
                <w:sz w:val="22"/>
                <w:highlight w:val="none"/>
              </w:rPr>
            </w:pPr>
            <w:r>
              <w:rPr>
                <w:rFonts w:hint="eastAsia" w:cs="Times New Roman"/>
                <w:b/>
                <w:bCs/>
                <w:color w:val="000000"/>
                <w:kern w:val="0"/>
                <w:sz w:val="22"/>
                <w:szCs w:val="22"/>
                <w:highlight w:val="none"/>
                <w:lang w:val="en-US" w:eastAsia="zh-CN"/>
              </w:rPr>
              <w:t>4</w:t>
            </w:r>
          </w:p>
        </w:tc>
        <w:tc>
          <w:tcPr>
            <w:tcW w:w="977" w:type="dxa"/>
            <w:tcBorders>
              <w:tl2br w:val="nil"/>
              <w:tr2bl w:val="nil"/>
            </w:tcBorders>
            <w:shd w:val="clear" w:color="auto" w:fill="FFFFFF"/>
            <w:vAlign w:val="center"/>
          </w:tcPr>
          <w:p w14:paraId="2AFDA12E">
            <w:pPr>
              <w:widowControl/>
              <w:ind w:firstLine="0" w:firstLineChars="0"/>
              <w:jc w:val="center"/>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03C1CF4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125EAE9C">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14:paraId="44B1D547">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14:paraId="45AFA96C">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资金分配合理性</w:t>
            </w:r>
          </w:p>
        </w:tc>
        <w:tc>
          <w:tcPr>
            <w:tcW w:w="844" w:type="dxa"/>
            <w:tcBorders>
              <w:tl2br w:val="nil"/>
              <w:tr2bl w:val="nil"/>
            </w:tcBorders>
            <w:shd w:val="clear" w:color="auto" w:fill="FFFFFF"/>
            <w:vAlign w:val="center"/>
          </w:tcPr>
          <w:p w14:paraId="25F2C82A">
            <w:pPr>
              <w:widowControl/>
              <w:spacing w:line="0" w:lineRule="atLeast"/>
              <w:jc w:val="center"/>
              <w:rPr>
                <w:rFonts w:ascii="Times New Roman" w:hAnsi="Times New Roman" w:cs="Times New Roman"/>
                <w:kern w:val="0"/>
                <w:sz w:val="22"/>
                <w:highlight w:val="none"/>
              </w:rPr>
            </w:pPr>
            <w:r>
              <w:rPr>
                <w:rFonts w:hint="eastAsia" w:cs="Times New Roman"/>
                <w:b/>
                <w:bCs/>
                <w:color w:val="000000"/>
                <w:kern w:val="0"/>
                <w:sz w:val="22"/>
                <w:szCs w:val="22"/>
                <w:highlight w:val="none"/>
                <w:lang w:val="en-US" w:eastAsia="zh-CN"/>
              </w:rPr>
              <w:t>4</w:t>
            </w:r>
          </w:p>
        </w:tc>
        <w:tc>
          <w:tcPr>
            <w:tcW w:w="845" w:type="dxa"/>
            <w:tcBorders>
              <w:tl2br w:val="nil"/>
              <w:tr2bl w:val="nil"/>
            </w:tcBorders>
            <w:shd w:val="clear" w:color="auto" w:fill="FFFFFF"/>
            <w:vAlign w:val="center"/>
          </w:tcPr>
          <w:p w14:paraId="3FB1A27E">
            <w:pPr>
              <w:widowControl/>
              <w:spacing w:line="0" w:lineRule="atLeast"/>
              <w:jc w:val="center"/>
              <w:rPr>
                <w:rFonts w:ascii="Times New Roman" w:hAnsi="Times New Roman" w:cs="Times New Roman"/>
                <w:kern w:val="0"/>
                <w:sz w:val="22"/>
                <w:highlight w:val="none"/>
              </w:rPr>
            </w:pPr>
            <w:r>
              <w:rPr>
                <w:rFonts w:hint="eastAsia" w:cs="Times New Roman"/>
                <w:b/>
                <w:bCs/>
                <w:color w:val="000000"/>
                <w:kern w:val="0"/>
                <w:sz w:val="22"/>
                <w:szCs w:val="22"/>
                <w:highlight w:val="none"/>
                <w:lang w:val="en-US" w:eastAsia="zh-CN"/>
              </w:rPr>
              <w:t>4</w:t>
            </w:r>
          </w:p>
        </w:tc>
        <w:tc>
          <w:tcPr>
            <w:tcW w:w="977" w:type="dxa"/>
            <w:tcBorders>
              <w:tl2br w:val="nil"/>
              <w:tr2bl w:val="nil"/>
            </w:tcBorders>
            <w:shd w:val="clear" w:color="auto" w:fill="FFFFFF"/>
            <w:vAlign w:val="center"/>
          </w:tcPr>
          <w:p w14:paraId="721B317E">
            <w:pPr>
              <w:widowControl/>
              <w:ind w:firstLine="0" w:firstLineChars="0"/>
              <w:jc w:val="center"/>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51F58D7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14:paraId="42096E9E">
            <w:pPr>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过程</w:t>
            </w:r>
          </w:p>
        </w:tc>
        <w:tc>
          <w:tcPr>
            <w:tcW w:w="1865" w:type="dxa"/>
            <w:vMerge w:val="restart"/>
            <w:tcBorders>
              <w:tl2br w:val="nil"/>
              <w:tr2bl w:val="nil"/>
            </w:tcBorders>
            <w:shd w:val="clear" w:color="auto" w:fill="FFFFFF"/>
            <w:vAlign w:val="center"/>
          </w:tcPr>
          <w:p w14:paraId="016D740A">
            <w:pPr>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资金管理</w:t>
            </w:r>
          </w:p>
        </w:tc>
        <w:tc>
          <w:tcPr>
            <w:tcW w:w="2533" w:type="dxa"/>
            <w:tcBorders>
              <w:tl2br w:val="nil"/>
              <w:tr2bl w:val="nil"/>
            </w:tcBorders>
            <w:shd w:val="clear" w:color="auto" w:fill="FFFFFF"/>
            <w:vAlign w:val="center"/>
          </w:tcPr>
          <w:p w14:paraId="40E1B293">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资金到位率</w:t>
            </w:r>
          </w:p>
        </w:tc>
        <w:tc>
          <w:tcPr>
            <w:tcW w:w="844" w:type="dxa"/>
            <w:tcBorders>
              <w:tl2br w:val="nil"/>
              <w:tr2bl w:val="nil"/>
            </w:tcBorders>
            <w:shd w:val="clear" w:color="000000" w:fill="FFFFFF"/>
            <w:vAlign w:val="center"/>
          </w:tcPr>
          <w:p w14:paraId="4F0FCEC4">
            <w:pPr>
              <w:widowControl/>
              <w:spacing w:line="0" w:lineRule="atLeast"/>
              <w:jc w:val="center"/>
              <w:rPr>
                <w:rFonts w:ascii="Times New Roman" w:hAnsi="Times New Roman" w:cs="Times New Roman"/>
                <w:kern w:val="0"/>
                <w:sz w:val="22"/>
                <w:highlight w:val="none"/>
              </w:rPr>
            </w:pPr>
            <w:r>
              <w:rPr>
                <w:rFonts w:hint="eastAsia" w:cs="Times New Roman"/>
                <w:b/>
                <w:bCs/>
                <w:color w:val="000000"/>
                <w:kern w:val="0"/>
                <w:sz w:val="22"/>
                <w:szCs w:val="22"/>
                <w:highlight w:val="none"/>
                <w:lang w:val="en-US" w:eastAsia="zh-CN"/>
              </w:rPr>
              <w:t>4</w:t>
            </w:r>
          </w:p>
        </w:tc>
        <w:tc>
          <w:tcPr>
            <w:tcW w:w="845" w:type="dxa"/>
            <w:tcBorders>
              <w:tl2br w:val="nil"/>
              <w:tr2bl w:val="nil"/>
            </w:tcBorders>
            <w:shd w:val="clear" w:color="000000" w:fill="FFFFFF"/>
            <w:vAlign w:val="center"/>
          </w:tcPr>
          <w:p w14:paraId="3231CDD6">
            <w:pPr>
              <w:widowControl/>
              <w:spacing w:line="0" w:lineRule="atLeast"/>
              <w:jc w:val="center"/>
              <w:rPr>
                <w:rFonts w:ascii="Times New Roman" w:hAnsi="Times New Roman" w:cs="Times New Roman"/>
                <w:kern w:val="0"/>
                <w:sz w:val="22"/>
                <w:highlight w:val="none"/>
              </w:rPr>
            </w:pPr>
            <w:r>
              <w:rPr>
                <w:rFonts w:hint="eastAsia" w:cs="Times New Roman"/>
                <w:b/>
                <w:bCs/>
                <w:color w:val="000000"/>
                <w:kern w:val="0"/>
                <w:sz w:val="22"/>
                <w:szCs w:val="22"/>
                <w:highlight w:val="none"/>
                <w:lang w:val="en-US" w:eastAsia="zh-CN"/>
              </w:rPr>
              <w:t>4</w:t>
            </w:r>
          </w:p>
        </w:tc>
        <w:tc>
          <w:tcPr>
            <w:tcW w:w="977" w:type="dxa"/>
            <w:tcBorders>
              <w:tl2br w:val="nil"/>
              <w:tr2bl w:val="nil"/>
            </w:tcBorders>
            <w:shd w:val="clear" w:color="000000" w:fill="FFFFFF"/>
            <w:vAlign w:val="center"/>
          </w:tcPr>
          <w:p w14:paraId="00953314">
            <w:pPr>
              <w:widowControl/>
              <w:ind w:firstLine="0" w:firstLineChars="0"/>
              <w:jc w:val="center"/>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3B4348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6FC0E096">
            <w:pPr>
              <w:ind w:firstLine="44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14:paraId="6F450122">
            <w:pPr>
              <w:ind w:firstLine="44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14:paraId="05AF3976">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预算执行率</w:t>
            </w:r>
          </w:p>
        </w:tc>
        <w:tc>
          <w:tcPr>
            <w:tcW w:w="844" w:type="dxa"/>
            <w:tcBorders>
              <w:tl2br w:val="nil"/>
              <w:tr2bl w:val="nil"/>
            </w:tcBorders>
            <w:shd w:val="clear" w:color="auto" w:fill="FFFFFF"/>
            <w:vAlign w:val="center"/>
          </w:tcPr>
          <w:p w14:paraId="1A8E4B48">
            <w:pPr>
              <w:widowControl/>
              <w:spacing w:line="0" w:lineRule="atLeast"/>
              <w:jc w:val="center"/>
              <w:rPr>
                <w:rFonts w:ascii="Times New Roman" w:hAnsi="Times New Roman" w:cs="Times New Roman"/>
                <w:kern w:val="0"/>
                <w:sz w:val="22"/>
                <w:highlight w:val="none"/>
              </w:rPr>
            </w:pPr>
            <w:r>
              <w:rPr>
                <w:rFonts w:hint="default" w:ascii="Times New Roman" w:hAnsi="Times New Roman" w:cs="Times New Roman"/>
                <w:b/>
                <w:bCs/>
                <w:color w:val="000000"/>
                <w:kern w:val="0"/>
                <w:sz w:val="22"/>
                <w:szCs w:val="22"/>
                <w:highlight w:val="none"/>
              </w:rPr>
              <w:t>4</w:t>
            </w:r>
          </w:p>
        </w:tc>
        <w:tc>
          <w:tcPr>
            <w:tcW w:w="845" w:type="dxa"/>
            <w:tcBorders>
              <w:tl2br w:val="nil"/>
              <w:tr2bl w:val="nil"/>
            </w:tcBorders>
            <w:shd w:val="clear" w:color="auto" w:fill="FFFFFF"/>
            <w:vAlign w:val="center"/>
          </w:tcPr>
          <w:p w14:paraId="6CA0FF51">
            <w:pPr>
              <w:widowControl/>
              <w:spacing w:line="0" w:lineRule="atLeast"/>
              <w:jc w:val="center"/>
              <w:rPr>
                <w:rFonts w:ascii="Times New Roman" w:hAnsi="Times New Roman" w:cs="Times New Roman"/>
                <w:kern w:val="0"/>
                <w:sz w:val="22"/>
                <w:highlight w:val="none"/>
              </w:rPr>
            </w:pPr>
            <w:r>
              <w:rPr>
                <w:rFonts w:hint="default" w:ascii="Times New Roman" w:hAnsi="Times New Roman" w:cs="Times New Roman"/>
                <w:b/>
                <w:bCs/>
                <w:color w:val="000000"/>
                <w:kern w:val="0"/>
                <w:sz w:val="22"/>
                <w:szCs w:val="22"/>
                <w:highlight w:val="none"/>
              </w:rPr>
              <w:t>1.15</w:t>
            </w:r>
          </w:p>
        </w:tc>
        <w:tc>
          <w:tcPr>
            <w:tcW w:w="977" w:type="dxa"/>
            <w:tcBorders>
              <w:tl2br w:val="nil"/>
              <w:tr2bl w:val="nil"/>
            </w:tcBorders>
            <w:shd w:val="clear" w:color="auto" w:fill="FFFFFF"/>
            <w:vAlign w:val="center"/>
          </w:tcPr>
          <w:p w14:paraId="60773B91">
            <w:pPr>
              <w:widowControl/>
              <w:ind w:firstLine="0" w:firstLineChars="0"/>
              <w:jc w:val="center"/>
              <w:rPr>
                <w:rFonts w:ascii="Times New Roman" w:hAnsi="Times New Roman" w:cs="Times New Roman"/>
                <w:kern w:val="0"/>
                <w:sz w:val="22"/>
                <w:highlight w:val="none"/>
              </w:rPr>
            </w:pPr>
            <w:r>
              <w:rPr>
                <w:rFonts w:hint="eastAsia" w:ascii="仿宋_GB2312" w:hAnsi="宋体" w:cs="宋体"/>
                <w:kern w:val="0"/>
                <w:sz w:val="24"/>
                <w:szCs w:val="24"/>
                <w:highlight w:val="none"/>
                <w:lang w:val="en-US" w:eastAsia="zh-CN"/>
              </w:rPr>
              <w:t>28.75</w:t>
            </w:r>
            <w:r>
              <w:rPr>
                <w:rFonts w:hint="eastAsia" w:ascii="仿宋_GB2312" w:hAnsi="宋体" w:cs="宋体"/>
                <w:kern w:val="0"/>
                <w:sz w:val="24"/>
                <w:szCs w:val="24"/>
                <w:highlight w:val="none"/>
              </w:rPr>
              <w:t>%</w:t>
            </w:r>
          </w:p>
        </w:tc>
      </w:tr>
      <w:tr w14:paraId="3207EF1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697AC3DD">
            <w:pPr>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14:paraId="7353E87D">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14:paraId="2BE54408">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资金使用合规性</w:t>
            </w:r>
          </w:p>
        </w:tc>
        <w:tc>
          <w:tcPr>
            <w:tcW w:w="844" w:type="dxa"/>
            <w:tcBorders>
              <w:tl2br w:val="nil"/>
              <w:tr2bl w:val="nil"/>
            </w:tcBorders>
            <w:shd w:val="clear" w:color="000000" w:fill="FFFFFF"/>
            <w:vAlign w:val="center"/>
          </w:tcPr>
          <w:p w14:paraId="42F887C9">
            <w:pPr>
              <w:widowControl/>
              <w:spacing w:line="0" w:lineRule="atLeast"/>
              <w:jc w:val="center"/>
              <w:rPr>
                <w:rFonts w:ascii="Times New Roman" w:hAnsi="Times New Roman" w:cs="Times New Roman"/>
                <w:kern w:val="0"/>
                <w:sz w:val="22"/>
                <w:highlight w:val="none"/>
              </w:rPr>
            </w:pPr>
            <w:r>
              <w:rPr>
                <w:rFonts w:hint="default" w:ascii="Times New Roman" w:hAnsi="Times New Roman" w:cs="Times New Roman"/>
                <w:b/>
                <w:bCs/>
                <w:color w:val="000000"/>
                <w:kern w:val="0"/>
                <w:sz w:val="22"/>
                <w:szCs w:val="22"/>
                <w:highlight w:val="none"/>
              </w:rPr>
              <w:t>4</w:t>
            </w:r>
          </w:p>
        </w:tc>
        <w:tc>
          <w:tcPr>
            <w:tcW w:w="845" w:type="dxa"/>
            <w:tcBorders>
              <w:tl2br w:val="nil"/>
              <w:tr2bl w:val="nil"/>
            </w:tcBorders>
            <w:shd w:val="clear" w:color="000000" w:fill="FFFFFF"/>
            <w:vAlign w:val="center"/>
          </w:tcPr>
          <w:p w14:paraId="6F609C25">
            <w:pPr>
              <w:widowControl/>
              <w:spacing w:line="0" w:lineRule="atLeast"/>
              <w:jc w:val="center"/>
              <w:rPr>
                <w:rFonts w:ascii="Times New Roman" w:hAnsi="Times New Roman" w:cs="Times New Roman"/>
                <w:kern w:val="0"/>
                <w:sz w:val="22"/>
                <w:highlight w:val="none"/>
              </w:rPr>
            </w:pPr>
            <w:r>
              <w:rPr>
                <w:rFonts w:hint="eastAsia" w:cs="Times New Roman"/>
                <w:b/>
                <w:bCs/>
                <w:color w:val="000000"/>
                <w:kern w:val="0"/>
                <w:sz w:val="22"/>
                <w:szCs w:val="22"/>
                <w:highlight w:val="none"/>
                <w:lang w:val="en-US" w:eastAsia="zh-CN"/>
              </w:rPr>
              <w:t>4</w:t>
            </w:r>
          </w:p>
        </w:tc>
        <w:tc>
          <w:tcPr>
            <w:tcW w:w="977" w:type="dxa"/>
            <w:tcBorders>
              <w:tl2br w:val="nil"/>
              <w:tr2bl w:val="nil"/>
            </w:tcBorders>
            <w:shd w:val="clear" w:color="000000" w:fill="FFFFFF"/>
            <w:vAlign w:val="center"/>
          </w:tcPr>
          <w:p w14:paraId="53E43F1F">
            <w:pPr>
              <w:widowControl/>
              <w:ind w:firstLine="0" w:firstLineChars="0"/>
              <w:jc w:val="center"/>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3DE116D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77705D52">
            <w:pPr>
              <w:ind w:firstLine="0" w:firstLineChars="0"/>
              <w:jc w:val="center"/>
              <w:rPr>
                <w:rFonts w:ascii="Times New Roman" w:hAnsi="Times New Roman" w:cs="Times New Roman"/>
                <w:kern w:val="0"/>
                <w:sz w:val="22"/>
                <w:highlight w:val="none"/>
              </w:rPr>
            </w:pPr>
          </w:p>
        </w:tc>
        <w:tc>
          <w:tcPr>
            <w:tcW w:w="1865" w:type="dxa"/>
            <w:vMerge w:val="restart"/>
            <w:tcBorders>
              <w:tl2br w:val="nil"/>
              <w:tr2bl w:val="nil"/>
            </w:tcBorders>
            <w:shd w:val="clear" w:color="auto" w:fill="FFFFFF"/>
            <w:vAlign w:val="center"/>
          </w:tcPr>
          <w:p w14:paraId="654CE5C7">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组织实施</w:t>
            </w:r>
          </w:p>
        </w:tc>
        <w:tc>
          <w:tcPr>
            <w:tcW w:w="2533" w:type="dxa"/>
            <w:tcBorders>
              <w:tl2br w:val="nil"/>
              <w:tr2bl w:val="nil"/>
            </w:tcBorders>
            <w:shd w:val="clear" w:color="auto" w:fill="FFFFFF"/>
            <w:vAlign w:val="center"/>
          </w:tcPr>
          <w:p w14:paraId="59640C6B">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管理制度健全性</w:t>
            </w:r>
          </w:p>
        </w:tc>
        <w:tc>
          <w:tcPr>
            <w:tcW w:w="844" w:type="dxa"/>
            <w:tcBorders>
              <w:tl2br w:val="nil"/>
              <w:tr2bl w:val="nil"/>
            </w:tcBorders>
            <w:shd w:val="clear" w:color="000000" w:fill="FFFFFF"/>
            <w:vAlign w:val="center"/>
          </w:tcPr>
          <w:p w14:paraId="09A44FB5">
            <w:pPr>
              <w:widowControl/>
              <w:spacing w:line="0" w:lineRule="atLeast"/>
              <w:jc w:val="center"/>
              <w:rPr>
                <w:rFonts w:ascii="Times New Roman" w:hAnsi="Times New Roman" w:cs="Times New Roman"/>
                <w:kern w:val="0"/>
                <w:sz w:val="22"/>
                <w:highlight w:val="none"/>
              </w:rPr>
            </w:pPr>
            <w:r>
              <w:rPr>
                <w:rFonts w:hint="default" w:ascii="Times New Roman" w:hAnsi="Times New Roman" w:cs="Times New Roman"/>
                <w:b/>
                <w:bCs/>
                <w:color w:val="000000"/>
                <w:kern w:val="0"/>
                <w:sz w:val="22"/>
                <w:szCs w:val="22"/>
                <w:highlight w:val="none"/>
              </w:rPr>
              <w:t>4</w:t>
            </w:r>
          </w:p>
        </w:tc>
        <w:tc>
          <w:tcPr>
            <w:tcW w:w="845" w:type="dxa"/>
            <w:tcBorders>
              <w:tl2br w:val="nil"/>
              <w:tr2bl w:val="nil"/>
            </w:tcBorders>
            <w:shd w:val="clear" w:color="000000" w:fill="FFFFFF"/>
            <w:vAlign w:val="center"/>
          </w:tcPr>
          <w:p w14:paraId="123E9FC2">
            <w:pPr>
              <w:widowControl/>
              <w:spacing w:line="0" w:lineRule="atLeast"/>
              <w:jc w:val="center"/>
              <w:rPr>
                <w:rFonts w:ascii="Times New Roman" w:hAnsi="Times New Roman" w:cs="Times New Roman"/>
                <w:kern w:val="0"/>
                <w:sz w:val="22"/>
                <w:highlight w:val="none"/>
              </w:rPr>
            </w:pPr>
            <w:r>
              <w:rPr>
                <w:rFonts w:hint="eastAsia" w:cs="Times New Roman"/>
                <w:b/>
                <w:bCs/>
                <w:color w:val="000000"/>
                <w:kern w:val="0"/>
                <w:sz w:val="22"/>
                <w:szCs w:val="22"/>
                <w:highlight w:val="none"/>
                <w:lang w:val="en-US" w:eastAsia="zh-CN"/>
              </w:rPr>
              <w:t>4</w:t>
            </w:r>
          </w:p>
        </w:tc>
        <w:tc>
          <w:tcPr>
            <w:tcW w:w="977" w:type="dxa"/>
            <w:tcBorders>
              <w:tl2br w:val="nil"/>
              <w:tr2bl w:val="nil"/>
            </w:tcBorders>
            <w:shd w:val="clear" w:color="000000" w:fill="FFFFFF"/>
            <w:vAlign w:val="center"/>
          </w:tcPr>
          <w:p w14:paraId="25A4C549">
            <w:pPr>
              <w:widowControl/>
              <w:ind w:firstLine="0" w:firstLineChars="0"/>
              <w:jc w:val="center"/>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3F6DFE8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1269D137">
            <w:pPr>
              <w:widowControl/>
              <w:ind w:firstLine="0" w:firstLineChars="0"/>
              <w:jc w:val="center"/>
              <w:rPr>
                <w:rFonts w:ascii="Times New Roman" w:hAnsi="Times New Roman" w:cs="Times New Roman"/>
                <w:kern w:val="0"/>
                <w:sz w:val="22"/>
                <w:highlight w:val="none"/>
              </w:rPr>
            </w:pPr>
          </w:p>
        </w:tc>
        <w:tc>
          <w:tcPr>
            <w:tcW w:w="1865" w:type="dxa"/>
            <w:vMerge w:val="continue"/>
            <w:tcBorders>
              <w:tl2br w:val="nil"/>
              <w:tr2bl w:val="nil"/>
            </w:tcBorders>
            <w:shd w:val="clear" w:color="auto" w:fill="FFFFFF"/>
            <w:vAlign w:val="center"/>
          </w:tcPr>
          <w:p w14:paraId="7053EE94">
            <w:pPr>
              <w:widowControl/>
              <w:ind w:firstLine="0" w:firstLineChars="0"/>
              <w:jc w:val="center"/>
              <w:rPr>
                <w:rFonts w:ascii="Times New Roman" w:hAnsi="Times New Roman" w:cs="Times New Roman"/>
                <w:kern w:val="0"/>
                <w:sz w:val="22"/>
                <w:highlight w:val="none"/>
              </w:rPr>
            </w:pPr>
          </w:p>
        </w:tc>
        <w:tc>
          <w:tcPr>
            <w:tcW w:w="2533" w:type="dxa"/>
            <w:tcBorders>
              <w:tl2br w:val="nil"/>
              <w:tr2bl w:val="nil"/>
            </w:tcBorders>
            <w:shd w:val="clear" w:color="auto" w:fill="FFFFFF"/>
            <w:vAlign w:val="center"/>
          </w:tcPr>
          <w:p w14:paraId="5AEEF502">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制度执行有效性</w:t>
            </w:r>
          </w:p>
        </w:tc>
        <w:tc>
          <w:tcPr>
            <w:tcW w:w="844" w:type="dxa"/>
            <w:tcBorders>
              <w:tl2br w:val="nil"/>
              <w:tr2bl w:val="nil"/>
            </w:tcBorders>
            <w:shd w:val="clear" w:color="000000" w:fill="FFFFFF"/>
            <w:vAlign w:val="center"/>
          </w:tcPr>
          <w:p w14:paraId="3A6F2A90">
            <w:pPr>
              <w:widowControl/>
              <w:spacing w:line="0" w:lineRule="atLeast"/>
              <w:jc w:val="center"/>
              <w:rPr>
                <w:rFonts w:ascii="Times New Roman" w:hAnsi="Times New Roman" w:cs="Times New Roman"/>
                <w:kern w:val="0"/>
                <w:sz w:val="22"/>
                <w:highlight w:val="none"/>
              </w:rPr>
            </w:pPr>
            <w:r>
              <w:rPr>
                <w:rFonts w:hint="default" w:ascii="Times New Roman" w:hAnsi="Times New Roman" w:cs="Times New Roman"/>
                <w:b/>
                <w:bCs/>
                <w:color w:val="000000"/>
                <w:kern w:val="0"/>
                <w:sz w:val="22"/>
                <w:szCs w:val="22"/>
                <w:highlight w:val="none"/>
              </w:rPr>
              <w:t>4</w:t>
            </w:r>
          </w:p>
        </w:tc>
        <w:tc>
          <w:tcPr>
            <w:tcW w:w="845" w:type="dxa"/>
            <w:tcBorders>
              <w:tl2br w:val="nil"/>
              <w:tr2bl w:val="nil"/>
            </w:tcBorders>
            <w:shd w:val="clear" w:color="000000" w:fill="FFFFFF"/>
            <w:vAlign w:val="center"/>
          </w:tcPr>
          <w:p w14:paraId="654EFB80">
            <w:pPr>
              <w:widowControl/>
              <w:spacing w:line="0" w:lineRule="atLeast"/>
              <w:jc w:val="center"/>
              <w:rPr>
                <w:rFonts w:ascii="Times New Roman" w:hAnsi="Times New Roman" w:cs="Times New Roman"/>
                <w:kern w:val="0"/>
                <w:sz w:val="22"/>
                <w:highlight w:val="none"/>
              </w:rPr>
            </w:pPr>
            <w:r>
              <w:rPr>
                <w:rFonts w:hint="eastAsia" w:cs="Times New Roman"/>
                <w:b/>
                <w:bCs/>
                <w:color w:val="000000"/>
                <w:kern w:val="0"/>
                <w:sz w:val="22"/>
                <w:szCs w:val="22"/>
                <w:highlight w:val="none"/>
                <w:lang w:val="en-US" w:eastAsia="zh-CN"/>
              </w:rPr>
              <w:t>4</w:t>
            </w:r>
          </w:p>
        </w:tc>
        <w:tc>
          <w:tcPr>
            <w:tcW w:w="977" w:type="dxa"/>
            <w:tcBorders>
              <w:tl2br w:val="nil"/>
              <w:tr2bl w:val="nil"/>
            </w:tcBorders>
            <w:shd w:val="clear" w:color="000000" w:fill="FFFFFF"/>
            <w:vAlign w:val="center"/>
          </w:tcPr>
          <w:p w14:paraId="4E4DD2BD">
            <w:pPr>
              <w:widowControl/>
              <w:ind w:firstLine="0" w:firstLineChars="0"/>
              <w:jc w:val="center"/>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4FAFA23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4" w:hRule="atLeast"/>
          <w:jc w:val="center"/>
        </w:trPr>
        <w:tc>
          <w:tcPr>
            <w:tcW w:w="1458" w:type="dxa"/>
            <w:vMerge w:val="restart"/>
            <w:tcBorders>
              <w:tl2br w:val="nil"/>
              <w:tr2bl w:val="nil"/>
            </w:tcBorders>
            <w:shd w:val="clear" w:color="auto" w:fill="FFFFFF"/>
            <w:vAlign w:val="center"/>
          </w:tcPr>
          <w:p w14:paraId="14F6442E">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产出</w:t>
            </w:r>
          </w:p>
        </w:tc>
        <w:tc>
          <w:tcPr>
            <w:tcW w:w="1865" w:type="dxa"/>
            <w:vMerge w:val="restart"/>
            <w:tcBorders>
              <w:tl2br w:val="nil"/>
              <w:tr2bl w:val="nil"/>
            </w:tcBorders>
            <w:shd w:val="clear" w:color="auto" w:fill="FFFFFF"/>
            <w:vAlign w:val="center"/>
          </w:tcPr>
          <w:p w14:paraId="6A3CB54F">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产出数量</w:t>
            </w:r>
          </w:p>
        </w:tc>
        <w:tc>
          <w:tcPr>
            <w:tcW w:w="2533" w:type="dxa"/>
            <w:tcBorders>
              <w:tl2br w:val="nil"/>
              <w:tr2bl w:val="nil"/>
            </w:tcBorders>
            <w:shd w:val="clear" w:color="auto" w:fill="FFFFFF"/>
            <w:vAlign w:val="center"/>
          </w:tcPr>
          <w:p w14:paraId="16DF936A">
            <w:pPr>
              <w:widowControl/>
              <w:ind w:firstLine="0" w:firstLineChars="0"/>
              <w:jc w:val="center"/>
              <w:rPr>
                <w:rFonts w:ascii="Times New Roman" w:hAnsi="Times New Roman" w:cs="Times New Roman"/>
                <w:kern w:val="0"/>
                <w:sz w:val="22"/>
                <w:highlight w:val="none"/>
              </w:rPr>
            </w:pPr>
            <w:r>
              <w:rPr>
                <w:rFonts w:hint="eastAsia" w:ascii="宋体" w:hAnsi="宋体" w:eastAsia="宋体" w:cs="宋体"/>
                <w:i w:val="0"/>
                <w:iCs w:val="0"/>
                <w:color w:val="000000"/>
                <w:kern w:val="0"/>
                <w:sz w:val="22"/>
                <w:szCs w:val="22"/>
                <w:highlight w:val="none"/>
                <w:u w:val="none"/>
                <w:lang w:val="en-US" w:eastAsia="zh-CN"/>
              </w:rPr>
              <w:t>打造越冬放牧用房</w:t>
            </w:r>
          </w:p>
        </w:tc>
        <w:tc>
          <w:tcPr>
            <w:tcW w:w="844" w:type="dxa"/>
            <w:tcBorders>
              <w:tl2br w:val="nil"/>
              <w:tr2bl w:val="nil"/>
            </w:tcBorders>
            <w:shd w:val="clear" w:color="000000" w:fill="FFFFFF"/>
            <w:vAlign w:val="center"/>
          </w:tcPr>
          <w:p w14:paraId="4570CFAA">
            <w:pPr>
              <w:widowControl/>
              <w:spacing w:line="0" w:lineRule="atLeast"/>
              <w:jc w:val="center"/>
              <w:rPr>
                <w:rFonts w:hint="eastAsia" w:ascii="宋体" w:hAnsi="宋体" w:eastAsia="宋体" w:cs="宋体"/>
                <w:i w:val="0"/>
                <w:iCs w:val="0"/>
                <w:color w:val="000000"/>
                <w:kern w:val="0"/>
                <w:sz w:val="22"/>
                <w:szCs w:val="22"/>
                <w:highlight w:val="none"/>
                <w:u w:val="none"/>
                <w:lang w:val="en-US" w:eastAsia="zh-CN"/>
              </w:rPr>
            </w:pPr>
            <w:r>
              <w:rPr>
                <w:rFonts w:hint="default" w:ascii="Times New Roman" w:hAnsi="Times New Roman" w:cs="Times New Roman"/>
                <w:b/>
                <w:bCs/>
                <w:color w:val="000000"/>
                <w:kern w:val="0"/>
                <w:sz w:val="22"/>
                <w:szCs w:val="22"/>
                <w:highlight w:val="none"/>
              </w:rPr>
              <w:t>10</w:t>
            </w:r>
          </w:p>
        </w:tc>
        <w:tc>
          <w:tcPr>
            <w:tcW w:w="845" w:type="dxa"/>
            <w:tcBorders>
              <w:tl2br w:val="nil"/>
              <w:tr2bl w:val="nil"/>
            </w:tcBorders>
            <w:shd w:val="clear" w:color="000000" w:fill="FFFFFF"/>
            <w:vAlign w:val="center"/>
          </w:tcPr>
          <w:p w14:paraId="2929FB7E">
            <w:pPr>
              <w:widowControl/>
              <w:spacing w:line="0" w:lineRule="atLeast"/>
              <w:jc w:val="center"/>
              <w:rPr>
                <w:rFonts w:hint="eastAsia" w:ascii="宋体" w:hAnsi="宋体" w:eastAsia="宋体" w:cs="宋体"/>
                <w:i w:val="0"/>
                <w:iCs w:val="0"/>
                <w:color w:val="000000"/>
                <w:kern w:val="0"/>
                <w:sz w:val="22"/>
                <w:szCs w:val="22"/>
                <w:highlight w:val="none"/>
                <w:u w:val="none"/>
                <w:lang w:val="en-US" w:eastAsia="zh-CN"/>
              </w:rPr>
            </w:pPr>
            <w:r>
              <w:rPr>
                <w:rFonts w:hint="eastAsia" w:cs="Times New Roman"/>
                <w:b/>
                <w:bCs/>
                <w:color w:val="000000"/>
                <w:kern w:val="0"/>
                <w:sz w:val="22"/>
                <w:szCs w:val="22"/>
                <w:highlight w:val="none"/>
                <w:lang w:val="en-US" w:eastAsia="zh-CN"/>
              </w:rPr>
              <w:t>10</w:t>
            </w:r>
          </w:p>
        </w:tc>
        <w:tc>
          <w:tcPr>
            <w:tcW w:w="977" w:type="dxa"/>
            <w:tcBorders>
              <w:tl2br w:val="nil"/>
              <w:tr2bl w:val="nil"/>
            </w:tcBorders>
            <w:shd w:val="clear" w:color="000000" w:fill="FFFFFF"/>
            <w:vAlign w:val="center"/>
          </w:tcPr>
          <w:p w14:paraId="59D02583">
            <w:pPr>
              <w:widowControl/>
              <w:ind w:firstLine="0" w:firstLineChars="0"/>
              <w:jc w:val="center"/>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07BF826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7" w:hRule="atLeast"/>
          <w:jc w:val="center"/>
        </w:trPr>
        <w:tc>
          <w:tcPr>
            <w:tcW w:w="1458" w:type="dxa"/>
            <w:vMerge w:val="continue"/>
            <w:tcBorders>
              <w:tl2br w:val="nil"/>
              <w:tr2bl w:val="nil"/>
            </w:tcBorders>
            <w:shd w:val="clear" w:color="auto" w:fill="FFFFFF"/>
            <w:vAlign w:val="center"/>
          </w:tcPr>
          <w:p w14:paraId="5E419CE4">
            <w:pPr>
              <w:widowControl/>
              <w:ind w:firstLine="0" w:firstLineChars="0"/>
              <w:jc w:val="center"/>
              <w:rPr>
                <w:rFonts w:ascii="Times New Roman" w:hAnsi="Times New Roman" w:cs="Times New Roman"/>
                <w:kern w:val="0"/>
                <w:sz w:val="22"/>
                <w:highlight w:val="none"/>
              </w:rPr>
            </w:pPr>
          </w:p>
        </w:tc>
        <w:tc>
          <w:tcPr>
            <w:tcW w:w="1865" w:type="dxa"/>
            <w:vMerge w:val="restart"/>
            <w:tcBorders>
              <w:tl2br w:val="nil"/>
              <w:tr2bl w:val="nil"/>
            </w:tcBorders>
            <w:shd w:val="clear" w:color="auto" w:fill="FFFFFF"/>
            <w:vAlign w:val="center"/>
          </w:tcPr>
          <w:p w14:paraId="084E9778">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产出质量</w:t>
            </w:r>
          </w:p>
        </w:tc>
        <w:tc>
          <w:tcPr>
            <w:tcW w:w="2533" w:type="dxa"/>
            <w:tcBorders>
              <w:tl2br w:val="nil"/>
              <w:tr2bl w:val="nil"/>
            </w:tcBorders>
            <w:shd w:val="clear" w:color="auto" w:fill="FFFFFF"/>
            <w:vAlign w:val="center"/>
          </w:tcPr>
          <w:p w14:paraId="1C998F76">
            <w:pPr>
              <w:widowControl/>
              <w:ind w:firstLine="0" w:firstLineChars="0"/>
              <w:jc w:val="center"/>
              <w:rPr>
                <w:rFonts w:hint="eastAsia" w:ascii="宋体" w:hAnsi="宋体" w:eastAsia="宋体" w:cs="宋体"/>
                <w:i w:val="0"/>
                <w:iCs w:val="0"/>
                <w:color w:val="000000"/>
                <w:kern w:val="0"/>
                <w:sz w:val="22"/>
                <w:szCs w:val="22"/>
                <w:highlight w:val="none"/>
                <w:u w:val="none"/>
                <w:lang w:val="en-US" w:eastAsia="zh-CN"/>
              </w:rPr>
            </w:pPr>
            <w:r>
              <w:rPr>
                <w:rFonts w:hint="eastAsia" w:ascii="宋体" w:hAnsi="宋体" w:eastAsia="宋体" w:cs="宋体"/>
                <w:i w:val="0"/>
                <w:iCs w:val="0"/>
                <w:color w:val="000000"/>
                <w:kern w:val="0"/>
                <w:sz w:val="22"/>
                <w:szCs w:val="22"/>
                <w:highlight w:val="none"/>
                <w:u w:val="none"/>
                <w:lang w:val="en-US" w:eastAsia="zh-CN"/>
              </w:rPr>
              <w:t>打造用房验收合格率</w:t>
            </w:r>
          </w:p>
        </w:tc>
        <w:tc>
          <w:tcPr>
            <w:tcW w:w="844" w:type="dxa"/>
            <w:tcBorders>
              <w:tl2br w:val="nil"/>
              <w:tr2bl w:val="nil"/>
            </w:tcBorders>
            <w:shd w:val="clear" w:color="000000" w:fill="FFFFFF"/>
            <w:vAlign w:val="center"/>
          </w:tcPr>
          <w:p w14:paraId="437DD33A">
            <w:pPr>
              <w:widowControl/>
              <w:spacing w:line="0" w:lineRule="atLeast"/>
              <w:jc w:val="center"/>
              <w:rPr>
                <w:rFonts w:ascii="Times New Roman" w:hAnsi="Times New Roman" w:cs="Times New Roman"/>
                <w:kern w:val="0"/>
                <w:sz w:val="22"/>
                <w:highlight w:val="none"/>
              </w:rPr>
            </w:pPr>
            <w:r>
              <w:rPr>
                <w:rFonts w:hint="eastAsia" w:cs="Times New Roman"/>
                <w:b/>
                <w:bCs/>
                <w:color w:val="000000"/>
                <w:kern w:val="0"/>
                <w:sz w:val="22"/>
                <w:szCs w:val="22"/>
                <w:highlight w:val="none"/>
                <w:lang w:val="en-US" w:eastAsia="zh-CN"/>
              </w:rPr>
              <w:t>5</w:t>
            </w:r>
          </w:p>
        </w:tc>
        <w:tc>
          <w:tcPr>
            <w:tcW w:w="845" w:type="dxa"/>
            <w:tcBorders>
              <w:tl2br w:val="nil"/>
              <w:tr2bl w:val="nil"/>
            </w:tcBorders>
            <w:shd w:val="clear" w:color="000000" w:fill="FFFFFF"/>
            <w:vAlign w:val="center"/>
          </w:tcPr>
          <w:p w14:paraId="6DC85D2E">
            <w:pPr>
              <w:widowControl/>
              <w:spacing w:line="0" w:lineRule="atLeast"/>
              <w:jc w:val="center"/>
              <w:rPr>
                <w:rFonts w:ascii="Times New Roman" w:hAnsi="Times New Roman" w:cs="Times New Roman"/>
                <w:kern w:val="0"/>
                <w:sz w:val="22"/>
                <w:highlight w:val="none"/>
              </w:rPr>
            </w:pPr>
            <w:r>
              <w:rPr>
                <w:rFonts w:hint="eastAsia" w:cs="Times New Roman"/>
                <w:b/>
                <w:bCs/>
                <w:color w:val="000000"/>
                <w:kern w:val="0"/>
                <w:sz w:val="22"/>
                <w:szCs w:val="22"/>
                <w:highlight w:val="none"/>
                <w:lang w:val="en-US" w:eastAsia="zh-CN"/>
              </w:rPr>
              <w:t>5</w:t>
            </w:r>
          </w:p>
        </w:tc>
        <w:tc>
          <w:tcPr>
            <w:tcW w:w="977" w:type="dxa"/>
            <w:tcBorders>
              <w:tl2br w:val="nil"/>
              <w:tr2bl w:val="nil"/>
            </w:tcBorders>
            <w:shd w:val="clear" w:color="000000" w:fill="FFFFFF"/>
            <w:vAlign w:val="center"/>
          </w:tcPr>
          <w:p w14:paraId="4AE30FB1">
            <w:pPr>
              <w:widowControl/>
              <w:ind w:firstLine="0" w:firstLineChars="0"/>
              <w:jc w:val="center"/>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7D6600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4" w:hRule="atLeast"/>
          <w:jc w:val="center"/>
        </w:trPr>
        <w:tc>
          <w:tcPr>
            <w:tcW w:w="1458" w:type="dxa"/>
            <w:vMerge w:val="continue"/>
            <w:tcBorders>
              <w:tl2br w:val="nil"/>
              <w:tr2bl w:val="nil"/>
            </w:tcBorders>
            <w:shd w:val="clear" w:color="auto" w:fill="FFFFFF"/>
            <w:vAlign w:val="center"/>
          </w:tcPr>
          <w:p w14:paraId="4F0B9BAC">
            <w:pPr>
              <w:widowControl/>
              <w:ind w:firstLine="0" w:firstLineChars="0"/>
              <w:jc w:val="center"/>
              <w:rPr>
                <w:highlight w:val="none"/>
              </w:rPr>
            </w:pPr>
          </w:p>
        </w:tc>
        <w:tc>
          <w:tcPr>
            <w:tcW w:w="1865" w:type="dxa"/>
            <w:vMerge w:val="continue"/>
            <w:tcBorders>
              <w:tl2br w:val="nil"/>
              <w:tr2bl w:val="nil"/>
            </w:tcBorders>
            <w:shd w:val="clear" w:color="auto" w:fill="FFFFFF"/>
            <w:vAlign w:val="center"/>
          </w:tcPr>
          <w:p w14:paraId="14F1675D">
            <w:pPr>
              <w:widowControl/>
              <w:ind w:firstLine="0" w:firstLineChars="0"/>
              <w:jc w:val="center"/>
              <w:rPr>
                <w:highlight w:val="none"/>
              </w:rPr>
            </w:pPr>
          </w:p>
        </w:tc>
        <w:tc>
          <w:tcPr>
            <w:tcW w:w="2533" w:type="dxa"/>
            <w:tcBorders>
              <w:tl2br w:val="nil"/>
              <w:tr2bl w:val="nil"/>
            </w:tcBorders>
            <w:shd w:val="clear" w:color="auto" w:fill="FFFFFF"/>
            <w:vAlign w:val="center"/>
          </w:tcPr>
          <w:p w14:paraId="19B7018E">
            <w:pPr>
              <w:widowControl/>
              <w:ind w:firstLine="0" w:firstLineChars="0"/>
              <w:jc w:val="center"/>
              <w:rPr>
                <w:rFonts w:hint="eastAsia" w:ascii="宋体" w:hAnsi="宋体" w:eastAsia="宋体" w:cs="宋体"/>
                <w:i w:val="0"/>
                <w:iCs w:val="0"/>
                <w:color w:val="000000"/>
                <w:kern w:val="0"/>
                <w:sz w:val="22"/>
                <w:szCs w:val="22"/>
                <w:highlight w:val="none"/>
                <w:u w:val="none"/>
                <w:lang w:val="en-US" w:eastAsia="zh-CN"/>
              </w:rPr>
            </w:pPr>
            <w:r>
              <w:rPr>
                <w:rFonts w:hint="eastAsia" w:ascii="宋体" w:hAnsi="宋体" w:eastAsia="宋体" w:cs="宋体"/>
                <w:i w:val="0"/>
                <w:iCs w:val="0"/>
                <w:color w:val="000000"/>
                <w:kern w:val="0"/>
                <w:sz w:val="22"/>
                <w:szCs w:val="22"/>
                <w:highlight w:val="none"/>
                <w:u w:val="none"/>
                <w:lang w:val="en-US" w:eastAsia="zh-CN"/>
              </w:rPr>
              <w:t>经费支付准确率</w:t>
            </w:r>
          </w:p>
        </w:tc>
        <w:tc>
          <w:tcPr>
            <w:tcW w:w="844" w:type="dxa"/>
            <w:tcBorders>
              <w:tl2br w:val="nil"/>
              <w:tr2bl w:val="nil"/>
            </w:tcBorders>
            <w:shd w:val="clear" w:color="000000" w:fill="FFFFFF"/>
            <w:vAlign w:val="center"/>
          </w:tcPr>
          <w:p w14:paraId="672C3DE1">
            <w:pPr>
              <w:widowControl/>
              <w:spacing w:line="0" w:lineRule="atLeast"/>
              <w:jc w:val="center"/>
              <w:rPr>
                <w:rFonts w:ascii="Times New Roman" w:hAnsi="Times New Roman" w:cs="Times New Roman"/>
                <w:kern w:val="0"/>
                <w:sz w:val="22"/>
                <w:highlight w:val="none"/>
              </w:rPr>
            </w:pPr>
            <w:r>
              <w:rPr>
                <w:rFonts w:hint="eastAsia" w:cs="Times New Roman"/>
                <w:b/>
                <w:bCs/>
                <w:color w:val="000000"/>
                <w:kern w:val="0"/>
                <w:sz w:val="22"/>
                <w:szCs w:val="22"/>
                <w:highlight w:val="none"/>
                <w:lang w:val="en-US" w:eastAsia="zh-CN"/>
              </w:rPr>
              <w:t>5</w:t>
            </w:r>
          </w:p>
        </w:tc>
        <w:tc>
          <w:tcPr>
            <w:tcW w:w="845" w:type="dxa"/>
            <w:tcBorders>
              <w:tl2br w:val="nil"/>
              <w:tr2bl w:val="nil"/>
            </w:tcBorders>
            <w:shd w:val="clear" w:color="000000" w:fill="FFFFFF"/>
            <w:vAlign w:val="center"/>
          </w:tcPr>
          <w:p w14:paraId="19F986F3">
            <w:pPr>
              <w:widowControl/>
              <w:spacing w:line="0" w:lineRule="atLeast"/>
              <w:jc w:val="center"/>
              <w:rPr>
                <w:rFonts w:ascii="Times New Roman" w:hAnsi="Times New Roman" w:cs="Times New Roman"/>
                <w:kern w:val="0"/>
                <w:sz w:val="22"/>
                <w:highlight w:val="none"/>
              </w:rPr>
            </w:pPr>
            <w:r>
              <w:rPr>
                <w:rFonts w:hint="eastAsia" w:cs="Times New Roman"/>
                <w:b/>
                <w:bCs/>
                <w:color w:val="000000"/>
                <w:kern w:val="0"/>
                <w:sz w:val="22"/>
                <w:szCs w:val="22"/>
                <w:highlight w:val="none"/>
                <w:lang w:val="en-US" w:eastAsia="zh-CN"/>
              </w:rPr>
              <w:t>5</w:t>
            </w:r>
          </w:p>
        </w:tc>
        <w:tc>
          <w:tcPr>
            <w:tcW w:w="977" w:type="dxa"/>
            <w:tcBorders>
              <w:tl2br w:val="nil"/>
              <w:tr2bl w:val="nil"/>
            </w:tcBorders>
            <w:shd w:val="clear" w:color="000000" w:fill="FFFFFF"/>
            <w:vAlign w:val="center"/>
          </w:tcPr>
          <w:p w14:paraId="39BFB857">
            <w:pPr>
              <w:widowControl/>
              <w:ind w:firstLine="0" w:firstLineChars="0"/>
              <w:jc w:val="center"/>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5B2D391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83" w:hRule="atLeast"/>
          <w:jc w:val="center"/>
        </w:trPr>
        <w:tc>
          <w:tcPr>
            <w:tcW w:w="1458" w:type="dxa"/>
            <w:vMerge w:val="continue"/>
            <w:tcBorders>
              <w:tl2br w:val="nil"/>
              <w:tr2bl w:val="nil"/>
            </w:tcBorders>
            <w:shd w:val="clear" w:color="auto" w:fill="FFFFFF"/>
            <w:vAlign w:val="center"/>
          </w:tcPr>
          <w:p w14:paraId="05B654F3">
            <w:pPr>
              <w:ind w:firstLine="0" w:firstLineChars="0"/>
              <w:jc w:val="center"/>
              <w:rPr>
                <w:rFonts w:ascii="Times New Roman" w:hAnsi="Times New Roman" w:cs="Times New Roman"/>
                <w:kern w:val="0"/>
                <w:sz w:val="22"/>
                <w:highlight w:val="none"/>
              </w:rPr>
            </w:pPr>
          </w:p>
        </w:tc>
        <w:tc>
          <w:tcPr>
            <w:tcW w:w="1865" w:type="dxa"/>
            <w:tcBorders>
              <w:tl2br w:val="nil"/>
              <w:tr2bl w:val="nil"/>
            </w:tcBorders>
            <w:shd w:val="clear" w:color="auto" w:fill="FFFFFF"/>
            <w:vAlign w:val="center"/>
          </w:tcPr>
          <w:p w14:paraId="40F161D9">
            <w:pPr>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产出时效</w:t>
            </w:r>
          </w:p>
        </w:tc>
        <w:tc>
          <w:tcPr>
            <w:tcW w:w="2533" w:type="dxa"/>
            <w:tcBorders>
              <w:tl2br w:val="nil"/>
              <w:tr2bl w:val="nil"/>
            </w:tcBorders>
            <w:shd w:val="clear" w:color="auto" w:fill="FFFFFF"/>
            <w:vAlign w:val="center"/>
          </w:tcPr>
          <w:p w14:paraId="450DFAFF">
            <w:pPr>
              <w:keepNext w:val="0"/>
              <w:keepLines w:val="0"/>
              <w:widowControl/>
              <w:suppressLineNumbers w:val="0"/>
              <w:jc w:val="center"/>
              <w:textAlignment w:val="center"/>
              <w:rPr>
                <w:rFonts w:hint="default" w:ascii="Times New Roman" w:hAnsi="Times New Roman" w:eastAsia="宋体" w:cs="Times New Roman"/>
                <w:color w:val="000000"/>
                <w:kern w:val="0"/>
                <w:sz w:val="22"/>
                <w:szCs w:val="22"/>
                <w:highlight w:val="none"/>
                <w:lang w:val="en-US" w:eastAsia="zh-CN" w:bidi="ar-SA"/>
              </w:rPr>
            </w:pPr>
            <w:r>
              <w:rPr>
                <w:rFonts w:hint="eastAsia" w:ascii="宋体" w:hAnsi="宋体" w:eastAsia="宋体" w:cs="宋体"/>
                <w:i w:val="0"/>
                <w:iCs w:val="0"/>
                <w:color w:val="000000"/>
                <w:kern w:val="0"/>
                <w:sz w:val="20"/>
                <w:szCs w:val="20"/>
                <w:highlight w:val="none"/>
                <w:u w:val="none"/>
                <w:lang w:val="en-US" w:eastAsia="zh-CN"/>
              </w:rPr>
              <w:t>完成打造时间</w:t>
            </w:r>
          </w:p>
        </w:tc>
        <w:tc>
          <w:tcPr>
            <w:tcW w:w="844" w:type="dxa"/>
            <w:tcBorders>
              <w:tl2br w:val="nil"/>
              <w:tr2bl w:val="nil"/>
            </w:tcBorders>
            <w:shd w:val="clear" w:color="000000" w:fill="FFFFFF"/>
            <w:vAlign w:val="center"/>
          </w:tcPr>
          <w:p w14:paraId="288A432B">
            <w:pPr>
              <w:widowControl/>
              <w:spacing w:line="0" w:lineRule="atLeast"/>
              <w:jc w:val="center"/>
              <w:rPr>
                <w:rFonts w:ascii="Times New Roman" w:hAnsi="Times New Roman" w:cs="Times New Roman"/>
                <w:kern w:val="0"/>
                <w:sz w:val="22"/>
                <w:highlight w:val="none"/>
              </w:rPr>
            </w:pPr>
            <w:r>
              <w:rPr>
                <w:rFonts w:hint="default" w:ascii="Times New Roman" w:hAnsi="Times New Roman" w:cs="Times New Roman"/>
                <w:b/>
                <w:bCs/>
                <w:color w:val="000000"/>
                <w:kern w:val="0"/>
                <w:sz w:val="22"/>
                <w:szCs w:val="22"/>
                <w:highlight w:val="none"/>
              </w:rPr>
              <w:t>10</w:t>
            </w:r>
          </w:p>
        </w:tc>
        <w:tc>
          <w:tcPr>
            <w:tcW w:w="845" w:type="dxa"/>
            <w:tcBorders>
              <w:tl2br w:val="nil"/>
              <w:tr2bl w:val="nil"/>
            </w:tcBorders>
            <w:shd w:val="clear" w:color="000000" w:fill="FFFFFF"/>
            <w:vAlign w:val="center"/>
          </w:tcPr>
          <w:p w14:paraId="00EF963B">
            <w:pPr>
              <w:widowControl/>
              <w:spacing w:line="0" w:lineRule="atLeast"/>
              <w:jc w:val="center"/>
              <w:rPr>
                <w:rFonts w:ascii="Times New Roman" w:hAnsi="Times New Roman" w:cs="Times New Roman"/>
                <w:kern w:val="0"/>
                <w:sz w:val="22"/>
                <w:highlight w:val="none"/>
              </w:rPr>
            </w:pPr>
            <w:r>
              <w:rPr>
                <w:rFonts w:hint="eastAsia" w:cs="Times New Roman"/>
                <w:b/>
                <w:bCs/>
                <w:color w:val="000000"/>
                <w:kern w:val="0"/>
                <w:sz w:val="22"/>
                <w:szCs w:val="22"/>
                <w:highlight w:val="none"/>
                <w:lang w:val="en-US" w:eastAsia="zh-CN"/>
              </w:rPr>
              <w:t>10</w:t>
            </w:r>
          </w:p>
        </w:tc>
        <w:tc>
          <w:tcPr>
            <w:tcW w:w="977" w:type="dxa"/>
            <w:tcBorders>
              <w:tl2br w:val="nil"/>
              <w:tr2bl w:val="nil"/>
            </w:tcBorders>
            <w:shd w:val="clear" w:color="000000" w:fill="FFFFFF"/>
            <w:vAlign w:val="center"/>
          </w:tcPr>
          <w:p w14:paraId="5C945806">
            <w:pPr>
              <w:widowControl/>
              <w:ind w:firstLine="0" w:firstLineChars="0"/>
              <w:jc w:val="center"/>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4F4F328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41" w:hRule="atLeast"/>
          <w:jc w:val="center"/>
        </w:trPr>
        <w:tc>
          <w:tcPr>
            <w:tcW w:w="1458" w:type="dxa"/>
            <w:vMerge w:val="continue"/>
            <w:tcBorders>
              <w:tl2br w:val="nil"/>
              <w:tr2bl w:val="nil"/>
            </w:tcBorders>
            <w:shd w:val="clear" w:color="auto" w:fill="FFFFFF"/>
            <w:vAlign w:val="center"/>
          </w:tcPr>
          <w:p w14:paraId="49FBE17E">
            <w:pPr>
              <w:widowControl/>
              <w:ind w:firstLine="0" w:firstLineChars="0"/>
              <w:jc w:val="center"/>
              <w:rPr>
                <w:rFonts w:ascii="Times New Roman" w:hAnsi="Times New Roman" w:cs="Times New Roman"/>
                <w:kern w:val="0"/>
                <w:sz w:val="22"/>
                <w:highlight w:val="none"/>
              </w:rPr>
            </w:pPr>
          </w:p>
        </w:tc>
        <w:tc>
          <w:tcPr>
            <w:tcW w:w="1865" w:type="dxa"/>
            <w:tcBorders>
              <w:tl2br w:val="nil"/>
              <w:tr2bl w:val="nil"/>
            </w:tcBorders>
            <w:shd w:val="clear" w:color="auto" w:fill="FFFFFF"/>
            <w:vAlign w:val="center"/>
          </w:tcPr>
          <w:p w14:paraId="038EC7E1">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产出成本</w:t>
            </w:r>
          </w:p>
        </w:tc>
        <w:tc>
          <w:tcPr>
            <w:tcW w:w="2533" w:type="dxa"/>
            <w:tcBorders>
              <w:tl2br w:val="nil"/>
              <w:tr2bl w:val="nil"/>
            </w:tcBorders>
            <w:shd w:val="clear" w:color="auto" w:fill="FFFFFF"/>
            <w:vAlign w:val="center"/>
          </w:tcPr>
          <w:p w14:paraId="73E5BFE4">
            <w:pPr>
              <w:widowControl/>
              <w:ind w:firstLine="0" w:firstLineChars="0"/>
              <w:jc w:val="center"/>
              <w:rPr>
                <w:rFonts w:ascii="Times New Roman" w:hAnsi="Times New Roman" w:cs="Times New Roman"/>
                <w:kern w:val="0"/>
                <w:sz w:val="22"/>
                <w:highlight w:val="none"/>
              </w:rPr>
            </w:pPr>
            <w:r>
              <w:rPr>
                <w:rFonts w:hint="eastAsia" w:ascii="宋体" w:hAnsi="宋体" w:eastAsia="宋体" w:cs="宋体"/>
                <w:i w:val="0"/>
                <w:iCs w:val="0"/>
                <w:color w:val="000000"/>
                <w:kern w:val="0"/>
                <w:sz w:val="20"/>
                <w:szCs w:val="20"/>
                <w:highlight w:val="none"/>
                <w:u w:val="none"/>
                <w:lang w:val="en-US" w:eastAsia="zh-CN"/>
              </w:rPr>
              <w:t>每套用房打造单价</w:t>
            </w:r>
          </w:p>
        </w:tc>
        <w:tc>
          <w:tcPr>
            <w:tcW w:w="844" w:type="dxa"/>
            <w:tcBorders>
              <w:tl2br w:val="nil"/>
              <w:tr2bl w:val="nil"/>
            </w:tcBorders>
            <w:shd w:val="clear" w:color="000000" w:fill="FFFFFF"/>
            <w:vAlign w:val="center"/>
          </w:tcPr>
          <w:p w14:paraId="3E3F3623">
            <w:pPr>
              <w:widowControl/>
              <w:spacing w:line="0" w:lineRule="atLeast"/>
              <w:jc w:val="center"/>
              <w:rPr>
                <w:rFonts w:hint="eastAsia" w:ascii="Times New Roman" w:hAnsi="Times New Roman" w:eastAsia="宋体" w:cs="Times New Roman"/>
                <w:kern w:val="0"/>
                <w:sz w:val="22"/>
                <w:highlight w:val="none"/>
                <w:lang w:val="en-US" w:eastAsia="zh-CN"/>
              </w:rPr>
            </w:pPr>
            <w:r>
              <w:rPr>
                <w:rFonts w:hint="default" w:ascii="Times New Roman" w:hAnsi="Times New Roman" w:cs="Times New Roman"/>
                <w:b/>
                <w:bCs/>
                <w:color w:val="000000"/>
                <w:kern w:val="0"/>
                <w:sz w:val="22"/>
                <w:szCs w:val="22"/>
                <w:highlight w:val="none"/>
              </w:rPr>
              <w:t>10</w:t>
            </w:r>
          </w:p>
        </w:tc>
        <w:tc>
          <w:tcPr>
            <w:tcW w:w="845" w:type="dxa"/>
            <w:tcBorders>
              <w:tl2br w:val="nil"/>
              <w:tr2bl w:val="nil"/>
            </w:tcBorders>
            <w:shd w:val="clear" w:color="000000" w:fill="FFFFFF"/>
            <w:vAlign w:val="center"/>
          </w:tcPr>
          <w:p w14:paraId="5E61CEBC">
            <w:pPr>
              <w:widowControl/>
              <w:spacing w:line="0" w:lineRule="atLeast"/>
              <w:jc w:val="center"/>
              <w:rPr>
                <w:rFonts w:hint="eastAsia" w:ascii="Times New Roman" w:hAnsi="Times New Roman" w:eastAsia="宋体" w:cs="Times New Roman"/>
                <w:kern w:val="0"/>
                <w:sz w:val="22"/>
                <w:highlight w:val="none"/>
                <w:lang w:val="en-US" w:eastAsia="zh-CN"/>
              </w:rPr>
            </w:pPr>
            <w:r>
              <w:rPr>
                <w:rFonts w:hint="eastAsia" w:cs="Times New Roman"/>
                <w:b/>
                <w:bCs/>
                <w:color w:val="000000"/>
                <w:kern w:val="0"/>
                <w:sz w:val="22"/>
                <w:szCs w:val="22"/>
                <w:highlight w:val="none"/>
                <w:lang w:val="en-US" w:eastAsia="zh-CN"/>
              </w:rPr>
              <w:t>10</w:t>
            </w:r>
          </w:p>
        </w:tc>
        <w:tc>
          <w:tcPr>
            <w:tcW w:w="977" w:type="dxa"/>
            <w:tcBorders>
              <w:tl2br w:val="nil"/>
              <w:tr2bl w:val="nil"/>
            </w:tcBorders>
            <w:shd w:val="clear" w:color="000000" w:fill="FFFFFF"/>
            <w:vAlign w:val="center"/>
          </w:tcPr>
          <w:p w14:paraId="08450F5C">
            <w:pPr>
              <w:widowControl/>
              <w:ind w:firstLine="0" w:firstLineChars="0"/>
              <w:jc w:val="center"/>
              <w:rPr>
                <w:rFonts w:hint="default" w:ascii="Times New Roman" w:hAnsi="Times New Roman" w:eastAsia="宋体" w:cs="Times New Roman"/>
                <w:kern w:val="0"/>
                <w:sz w:val="22"/>
                <w:highlight w:val="none"/>
                <w:lang w:val="en-US" w:eastAsia="zh-CN"/>
              </w:rPr>
            </w:pPr>
            <w:r>
              <w:rPr>
                <w:rFonts w:hint="eastAsia" w:ascii="仿宋_GB2312" w:hAnsi="宋体" w:cs="宋体"/>
                <w:kern w:val="0"/>
                <w:sz w:val="24"/>
                <w:szCs w:val="24"/>
                <w:highlight w:val="none"/>
                <w:lang w:val="en-US" w:eastAsia="zh-CN"/>
              </w:rPr>
              <w:t>100%</w:t>
            </w:r>
          </w:p>
        </w:tc>
      </w:tr>
      <w:tr w14:paraId="419C4CF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4" w:hRule="atLeast"/>
          <w:jc w:val="center"/>
        </w:trPr>
        <w:tc>
          <w:tcPr>
            <w:tcW w:w="1458" w:type="dxa"/>
            <w:tcBorders>
              <w:tl2br w:val="nil"/>
              <w:tr2bl w:val="nil"/>
            </w:tcBorders>
            <w:shd w:val="clear" w:color="auto" w:fill="FFFFFF"/>
            <w:vAlign w:val="center"/>
          </w:tcPr>
          <w:p w14:paraId="1FEBD194">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效益</w:t>
            </w:r>
          </w:p>
        </w:tc>
        <w:tc>
          <w:tcPr>
            <w:tcW w:w="1865" w:type="dxa"/>
            <w:tcBorders>
              <w:tl2br w:val="nil"/>
              <w:tr2bl w:val="nil"/>
            </w:tcBorders>
            <w:shd w:val="clear" w:color="auto" w:fill="FFFFFF"/>
            <w:vAlign w:val="center"/>
          </w:tcPr>
          <w:p w14:paraId="7451A1B2">
            <w:pPr>
              <w:widowControl/>
              <w:ind w:firstLine="0" w:firstLineChars="0"/>
              <w:jc w:val="center"/>
              <w:rPr>
                <w:rFonts w:ascii="Times New Roman" w:hAnsi="Times New Roman" w:cs="Times New Roman"/>
                <w:kern w:val="0"/>
                <w:sz w:val="22"/>
                <w:highlight w:val="none"/>
              </w:rPr>
            </w:pPr>
            <w:r>
              <w:rPr>
                <w:rFonts w:ascii="Times New Roman" w:hAnsi="Times New Roman" w:cs="Times New Roman"/>
                <w:kern w:val="0"/>
                <w:sz w:val="22"/>
                <w:highlight w:val="none"/>
              </w:rPr>
              <w:t>社会效益指标</w:t>
            </w:r>
          </w:p>
        </w:tc>
        <w:tc>
          <w:tcPr>
            <w:tcW w:w="2533" w:type="dxa"/>
            <w:tcBorders>
              <w:tl2br w:val="nil"/>
              <w:tr2bl w:val="nil"/>
            </w:tcBorders>
            <w:shd w:val="clear" w:color="auto" w:fill="FFFFFF"/>
            <w:vAlign w:val="center"/>
          </w:tcPr>
          <w:p w14:paraId="725C19C0">
            <w:pPr>
              <w:widowControl/>
              <w:ind w:firstLine="0" w:firstLineChars="0"/>
              <w:jc w:val="center"/>
              <w:rPr>
                <w:rFonts w:ascii="Times New Roman" w:hAnsi="Times New Roman" w:cs="Times New Roman"/>
                <w:kern w:val="0"/>
                <w:sz w:val="22"/>
                <w:highlight w:val="none"/>
              </w:rPr>
            </w:pPr>
            <w:r>
              <w:rPr>
                <w:rFonts w:hint="eastAsia" w:ascii="宋体" w:hAnsi="宋体" w:eastAsia="宋体" w:cs="宋体"/>
                <w:i w:val="0"/>
                <w:iCs w:val="0"/>
                <w:color w:val="000000"/>
                <w:kern w:val="0"/>
                <w:sz w:val="20"/>
                <w:szCs w:val="20"/>
                <w:highlight w:val="none"/>
                <w:u w:val="none"/>
                <w:lang w:val="en-US" w:eastAsia="zh-CN"/>
              </w:rPr>
              <w:t>提高牧民越冬放牧点用房安全</w:t>
            </w:r>
          </w:p>
        </w:tc>
        <w:tc>
          <w:tcPr>
            <w:tcW w:w="844" w:type="dxa"/>
            <w:tcBorders>
              <w:tl2br w:val="nil"/>
              <w:tr2bl w:val="nil"/>
            </w:tcBorders>
            <w:shd w:val="clear" w:color="auto" w:fill="FFFFFF"/>
            <w:vAlign w:val="center"/>
          </w:tcPr>
          <w:p w14:paraId="2DE26D94">
            <w:pPr>
              <w:widowControl/>
              <w:spacing w:line="0" w:lineRule="atLeast"/>
              <w:jc w:val="center"/>
              <w:rPr>
                <w:rFonts w:ascii="Times New Roman" w:hAnsi="Times New Roman" w:cs="Times New Roman"/>
                <w:kern w:val="0"/>
                <w:sz w:val="22"/>
                <w:highlight w:val="none"/>
              </w:rPr>
            </w:pPr>
            <w:r>
              <w:rPr>
                <w:rFonts w:hint="default" w:ascii="Times New Roman" w:hAnsi="Times New Roman" w:cs="Times New Roman"/>
                <w:b/>
                <w:bCs/>
                <w:color w:val="000000"/>
                <w:kern w:val="0"/>
                <w:sz w:val="22"/>
                <w:szCs w:val="22"/>
                <w:highlight w:val="none"/>
              </w:rPr>
              <w:t>10</w:t>
            </w:r>
          </w:p>
        </w:tc>
        <w:tc>
          <w:tcPr>
            <w:tcW w:w="845" w:type="dxa"/>
            <w:tcBorders>
              <w:tl2br w:val="nil"/>
              <w:tr2bl w:val="nil"/>
            </w:tcBorders>
            <w:shd w:val="clear" w:color="auto" w:fill="FFFFFF"/>
            <w:vAlign w:val="center"/>
          </w:tcPr>
          <w:p w14:paraId="00E0042C">
            <w:pPr>
              <w:widowControl/>
              <w:spacing w:line="0" w:lineRule="atLeast"/>
              <w:jc w:val="center"/>
              <w:rPr>
                <w:rFonts w:ascii="Times New Roman" w:hAnsi="Times New Roman" w:cs="Times New Roman"/>
                <w:kern w:val="0"/>
                <w:sz w:val="22"/>
                <w:highlight w:val="none"/>
              </w:rPr>
            </w:pPr>
            <w:r>
              <w:rPr>
                <w:rFonts w:hint="eastAsia" w:cs="Times New Roman"/>
                <w:b/>
                <w:bCs/>
                <w:color w:val="000000"/>
                <w:kern w:val="0"/>
                <w:sz w:val="22"/>
                <w:szCs w:val="22"/>
                <w:highlight w:val="none"/>
                <w:lang w:val="en-US" w:eastAsia="zh-CN"/>
              </w:rPr>
              <w:t>10</w:t>
            </w:r>
          </w:p>
        </w:tc>
        <w:tc>
          <w:tcPr>
            <w:tcW w:w="977" w:type="dxa"/>
            <w:tcBorders>
              <w:tl2br w:val="nil"/>
              <w:tr2bl w:val="nil"/>
            </w:tcBorders>
            <w:shd w:val="clear" w:color="auto" w:fill="FFFFFF"/>
            <w:vAlign w:val="center"/>
          </w:tcPr>
          <w:p w14:paraId="4F2DF2B5">
            <w:pPr>
              <w:widowControl/>
              <w:ind w:firstLine="0" w:firstLineChars="0"/>
              <w:jc w:val="center"/>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r w14:paraId="679D85B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1458" w:type="dxa"/>
            <w:tcBorders>
              <w:tl2br w:val="nil"/>
              <w:tr2bl w:val="nil"/>
            </w:tcBorders>
            <w:shd w:val="clear" w:color="auto" w:fill="FFFFFF"/>
            <w:vAlign w:val="center"/>
          </w:tcPr>
          <w:p w14:paraId="7FC3749B">
            <w:pPr>
              <w:widowControl/>
              <w:ind w:firstLine="0" w:firstLineChars="0"/>
              <w:jc w:val="center"/>
              <w:rPr>
                <w:rFonts w:ascii="Times New Roman" w:hAnsi="Times New Roman" w:cs="Times New Roman"/>
                <w:kern w:val="0"/>
                <w:sz w:val="22"/>
                <w:highlight w:val="none"/>
              </w:rPr>
            </w:pPr>
            <w:r>
              <w:rPr>
                <w:rFonts w:ascii="Times New Roman" w:hAnsi="Times New Roman" w:cs="Times New Roman"/>
                <w:color w:val="000000"/>
                <w:kern w:val="0"/>
                <w:sz w:val="22"/>
                <w:highlight w:val="none"/>
              </w:rPr>
              <w:t>满意度指标完成情况分析</w:t>
            </w:r>
          </w:p>
        </w:tc>
        <w:tc>
          <w:tcPr>
            <w:tcW w:w="1865" w:type="dxa"/>
            <w:tcBorders>
              <w:tl2br w:val="nil"/>
              <w:tr2bl w:val="nil"/>
            </w:tcBorders>
            <w:shd w:val="clear" w:color="auto" w:fill="FFFFFF"/>
            <w:vAlign w:val="center"/>
          </w:tcPr>
          <w:p w14:paraId="4397E2FF">
            <w:pPr>
              <w:widowControl/>
              <w:ind w:firstLine="0" w:firstLineChars="0"/>
              <w:jc w:val="center"/>
              <w:rPr>
                <w:rFonts w:ascii="Times New Roman" w:hAnsi="Times New Roman" w:cs="Times New Roman"/>
                <w:kern w:val="0"/>
                <w:sz w:val="22"/>
                <w:highlight w:val="none"/>
              </w:rPr>
            </w:pPr>
            <w:r>
              <w:rPr>
                <w:rFonts w:ascii="Times New Roman" w:hAnsi="Times New Roman" w:cs="Times New Roman"/>
                <w:color w:val="000000"/>
                <w:kern w:val="0"/>
                <w:sz w:val="22"/>
                <w:highlight w:val="none"/>
              </w:rPr>
              <w:t>满意度指标</w:t>
            </w:r>
          </w:p>
        </w:tc>
        <w:tc>
          <w:tcPr>
            <w:tcW w:w="2533" w:type="dxa"/>
            <w:tcBorders>
              <w:tl2br w:val="nil"/>
              <w:tr2bl w:val="nil"/>
            </w:tcBorders>
            <w:shd w:val="clear" w:color="auto" w:fill="FFFFFF"/>
            <w:vAlign w:val="center"/>
          </w:tcPr>
          <w:p w14:paraId="209329F8">
            <w:pPr>
              <w:widowControl/>
              <w:ind w:firstLine="0" w:firstLineChars="0"/>
              <w:jc w:val="center"/>
              <w:rPr>
                <w:rFonts w:ascii="Times New Roman" w:hAnsi="Times New Roman" w:cs="Times New Roman"/>
                <w:color w:val="000000"/>
                <w:kern w:val="0"/>
                <w:sz w:val="22"/>
                <w:highlight w:val="none"/>
              </w:rPr>
            </w:pPr>
            <w:r>
              <w:rPr>
                <w:rFonts w:hint="eastAsia" w:ascii="宋体" w:hAnsi="宋体" w:eastAsia="宋体" w:cs="宋体"/>
                <w:i w:val="0"/>
                <w:iCs w:val="0"/>
                <w:color w:val="000000"/>
                <w:kern w:val="0"/>
                <w:sz w:val="20"/>
                <w:szCs w:val="20"/>
                <w:highlight w:val="none"/>
                <w:u w:val="none"/>
                <w:lang w:val="en-US" w:eastAsia="zh-CN"/>
              </w:rPr>
              <w:t>辖区牧民满意度</w:t>
            </w:r>
          </w:p>
        </w:tc>
        <w:tc>
          <w:tcPr>
            <w:tcW w:w="844" w:type="dxa"/>
            <w:tcBorders>
              <w:tl2br w:val="nil"/>
              <w:tr2bl w:val="nil"/>
            </w:tcBorders>
            <w:shd w:val="clear" w:color="000000" w:fill="FFFFFF"/>
            <w:vAlign w:val="center"/>
          </w:tcPr>
          <w:p w14:paraId="2F82C8AD">
            <w:pPr>
              <w:widowControl/>
              <w:spacing w:line="0" w:lineRule="atLeast"/>
              <w:jc w:val="center"/>
              <w:rPr>
                <w:rFonts w:ascii="Times New Roman" w:hAnsi="Times New Roman" w:cs="Times New Roman"/>
                <w:kern w:val="0"/>
                <w:sz w:val="22"/>
                <w:highlight w:val="none"/>
              </w:rPr>
            </w:pPr>
            <w:r>
              <w:rPr>
                <w:rFonts w:hint="default" w:ascii="Times New Roman" w:hAnsi="Times New Roman" w:cs="Times New Roman"/>
                <w:b/>
                <w:bCs/>
                <w:color w:val="000000"/>
                <w:kern w:val="0"/>
                <w:sz w:val="22"/>
                <w:szCs w:val="22"/>
                <w:highlight w:val="none"/>
              </w:rPr>
              <w:t>10</w:t>
            </w:r>
          </w:p>
        </w:tc>
        <w:tc>
          <w:tcPr>
            <w:tcW w:w="845" w:type="dxa"/>
            <w:tcBorders>
              <w:tl2br w:val="nil"/>
              <w:tr2bl w:val="nil"/>
            </w:tcBorders>
            <w:shd w:val="clear" w:color="000000" w:fill="FFFFFF"/>
            <w:vAlign w:val="center"/>
          </w:tcPr>
          <w:p w14:paraId="756DE7A3">
            <w:pPr>
              <w:widowControl/>
              <w:spacing w:line="0" w:lineRule="atLeast"/>
              <w:jc w:val="center"/>
              <w:rPr>
                <w:rFonts w:ascii="Times New Roman" w:hAnsi="Times New Roman" w:cs="Times New Roman"/>
                <w:kern w:val="0"/>
                <w:sz w:val="22"/>
                <w:highlight w:val="none"/>
              </w:rPr>
            </w:pPr>
            <w:r>
              <w:rPr>
                <w:rFonts w:hint="eastAsia" w:cs="Times New Roman"/>
                <w:b/>
                <w:bCs/>
                <w:color w:val="000000"/>
                <w:kern w:val="0"/>
                <w:sz w:val="22"/>
                <w:szCs w:val="22"/>
                <w:highlight w:val="none"/>
                <w:lang w:val="en-US" w:eastAsia="zh-CN"/>
              </w:rPr>
              <w:t>10</w:t>
            </w:r>
          </w:p>
        </w:tc>
        <w:tc>
          <w:tcPr>
            <w:tcW w:w="977" w:type="dxa"/>
            <w:tcBorders>
              <w:tl2br w:val="nil"/>
              <w:tr2bl w:val="nil"/>
            </w:tcBorders>
            <w:shd w:val="clear" w:color="000000" w:fill="FFFFFF"/>
            <w:vAlign w:val="center"/>
          </w:tcPr>
          <w:p w14:paraId="7A001D4C">
            <w:pPr>
              <w:widowControl/>
              <w:ind w:firstLine="0" w:firstLineChars="0"/>
              <w:jc w:val="center"/>
              <w:rPr>
                <w:rFonts w:ascii="Times New Roman" w:hAnsi="Times New Roman" w:cs="Times New Roman"/>
                <w:kern w:val="0"/>
                <w:sz w:val="22"/>
                <w:highlight w:val="none"/>
              </w:rPr>
            </w:pPr>
            <w:r>
              <w:rPr>
                <w:rFonts w:hint="eastAsia" w:ascii="仿宋_GB2312" w:hAnsi="宋体" w:cs="宋体"/>
                <w:kern w:val="0"/>
                <w:sz w:val="24"/>
                <w:szCs w:val="24"/>
                <w:highlight w:val="none"/>
              </w:rPr>
              <w:t>100%</w:t>
            </w:r>
          </w:p>
        </w:tc>
      </w:tr>
    </w:tbl>
    <w:p w14:paraId="7CD573CD">
      <w:pPr>
        <w:rPr>
          <w:rFonts w:hint="default" w:ascii="Times New Roman" w:hAnsi="Times New Roman" w:eastAsia="仿宋_GB2312" w:cs="Times New Roman"/>
          <w:sz w:val="30"/>
          <w:szCs w:val="30"/>
          <w:highlight w:val="none"/>
        </w:rPr>
      </w:pPr>
    </w:p>
    <w:p w14:paraId="77BADF54">
      <w:pPr>
        <w:rPr>
          <w:rFonts w:hint="default" w:ascii="Times New Roman" w:hAnsi="Times New Roman" w:eastAsia="仿宋_GB2312" w:cs="Times New Roman"/>
          <w:sz w:val="30"/>
          <w:szCs w:val="30"/>
          <w:highlight w:val="none"/>
        </w:rPr>
      </w:pPr>
    </w:p>
    <w:p w14:paraId="2D614534">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14:paraId="14F54A7A">
      <w:pPr>
        <w:pStyle w:val="8"/>
        <w:spacing w:before="0" w:after="0" w:line="560" w:lineRule="exact"/>
        <w:ind w:firstLine="643" w:firstLineChars="200"/>
        <w:jc w:val="both"/>
        <w:rPr>
          <w:rFonts w:hint="default" w:ascii="Times New Roman" w:hAnsi="Times New Roman" w:eastAsia="楷体_GB2312" w:cs="Times New Roman"/>
          <w:highlight w:val="none"/>
        </w:rPr>
      </w:pPr>
      <w:r>
        <w:rPr>
          <w:rFonts w:hint="default" w:ascii="Times New Roman" w:hAnsi="Times New Roman" w:eastAsia="楷体_GB2312" w:cs="Times New Roman"/>
          <w:highlight w:val="none"/>
        </w:rPr>
        <w:t>（一）项目决策情况</w:t>
      </w:r>
    </w:p>
    <w:p w14:paraId="4558C25A">
      <w:pPr>
        <w:spacing w:line="600" w:lineRule="exact"/>
        <w:ind w:firstLine="600" w:firstLineChars="200"/>
        <w:outlineLvl w:val="0"/>
        <w:rPr>
          <w:rFonts w:hint="default" w:ascii="Times New Roman" w:hAnsi="Times New Roman" w:eastAsia="仿宋_GB2312" w:cs="Times New Roman"/>
          <w:sz w:val="30"/>
          <w:szCs w:val="30"/>
          <w:highlight w:val="none"/>
        </w:rPr>
      </w:pPr>
      <w:r>
        <w:rPr>
          <w:rFonts w:hint="default" w:ascii="Times New Roman" w:hAnsi="Times New Roman" w:eastAsia="仿宋_GB2312" w:cs="Times New Roman"/>
          <w:sz w:val="30"/>
          <w:szCs w:val="30"/>
          <w:highlight w:val="none"/>
        </w:rPr>
        <w:t>项目决策类指标包括项目立项、绩效目标和资金投入三方面的内容，由6个三级指标构成，权重分值为20分，实际得分</w:t>
      </w:r>
      <w:r>
        <w:rPr>
          <w:rFonts w:hint="eastAsia" w:eastAsia="仿宋_GB2312" w:cs="Times New Roman"/>
          <w:sz w:val="30"/>
          <w:szCs w:val="30"/>
          <w:highlight w:val="none"/>
          <w:lang w:val="en-US" w:eastAsia="zh-CN"/>
        </w:rPr>
        <w:t>20</w:t>
      </w:r>
      <w:r>
        <w:rPr>
          <w:rFonts w:hint="default" w:ascii="Times New Roman" w:hAnsi="Times New Roman" w:eastAsia="仿宋_GB2312" w:cs="Times New Roman"/>
          <w:sz w:val="30"/>
          <w:szCs w:val="30"/>
          <w:highlight w:val="none"/>
        </w:rPr>
        <w:t>分，得分率为</w:t>
      </w:r>
      <w:r>
        <w:rPr>
          <w:rFonts w:hint="eastAsia" w:eastAsia="仿宋_GB2312" w:cs="Times New Roman"/>
          <w:sz w:val="30"/>
          <w:szCs w:val="30"/>
          <w:highlight w:val="none"/>
          <w:lang w:val="en-US" w:eastAsia="zh-CN"/>
        </w:rPr>
        <w:t>100</w:t>
      </w:r>
      <w:r>
        <w:rPr>
          <w:rFonts w:hint="default" w:ascii="Times New Roman" w:hAnsi="Times New Roman" w:eastAsia="仿宋_GB2312" w:cs="Times New Roman"/>
          <w:sz w:val="30"/>
          <w:szCs w:val="30"/>
          <w:highlight w:val="none"/>
        </w:rPr>
        <w:t>%。</w:t>
      </w:r>
    </w:p>
    <w:p w14:paraId="669F13BD">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1.项目立项</w:t>
      </w:r>
    </w:p>
    <w:p w14:paraId="271DC7D3">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（1）立项依据充分性</w:t>
      </w:r>
    </w:p>
    <w:p w14:paraId="18E11CFF">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项目立项符合《乌财建[2024]210号关于下达2024年城乡坑震安居工程建设民生实事资金预算的通知》相关文件要求。同时，项目与部门职责范围相符，</w:t>
      </w:r>
      <w:r>
        <w:rPr>
          <w:rFonts w:hint="default" w:ascii="Times New Roman" w:hAnsi="Times New Roman" w:eastAsia="仿宋_GB2312" w:cs="Times New Roman"/>
          <w:sz w:val="32"/>
          <w:szCs w:val="32"/>
          <w:lang w:val="en-US" w:eastAsia="zh-CN"/>
        </w:rPr>
        <w:t>属于部门</w:t>
      </w:r>
      <w:r>
        <w:rPr>
          <w:rFonts w:hint="default" w:ascii="Times New Roman" w:hAnsi="Times New Roman" w:eastAsia="仿宋_GB2312" w:cs="Times New Roman"/>
          <w:sz w:val="32"/>
          <w:szCs w:val="32"/>
        </w:rPr>
        <w:t>履职所需。此外，本项目属于公共财政支持范围，符合中央、地方事权支出责任划分原则。因此，立项依据充分，得</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分。</w:t>
      </w:r>
    </w:p>
    <w:p w14:paraId="514D601B">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（2）立项程序规范性</w:t>
      </w:r>
    </w:p>
    <w:p w14:paraId="1A7AE6B6">
      <w:pPr>
        <w:spacing w:line="600" w:lineRule="exact"/>
        <w:ind w:firstLine="640" w:firstLineChars="200"/>
        <w:outlineLvl w:val="0"/>
        <w:rPr>
          <w:rFonts w:hint="eastAsia" w:eastAsia="仿宋_GB2312" w:cs="Times New Roman"/>
          <w:sz w:val="32"/>
          <w:szCs w:val="32"/>
          <w:lang w:eastAsia="zh-CN"/>
        </w:rPr>
      </w:pPr>
      <w:r>
        <w:rPr>
          <w:rFonts w:hint="default" w:ascii="Times New Roman" w:hAnsi="Times New Roman" w:eastAsia="仿宋_GB2312" w:cs="Times New Roman"/>
          <w:sz w:val="32"/>
          <w:szCs w:val="32"/>
        </w:rPr>
        <w:t>根据《关于确认牧民越冬放牧点生产用房(居住)有关情况的通知》《乌财建[2024]210号关于下达2024年城乡坑震安居工程建设民生实事资金预算的通知》的文件精神，下达该预算项目。项目按照规定的程序申请设立，审批文件、材料符合相关要求，故立项程序规范，得</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分</w:t>
      </w:r>
      <w:r>
        <w:rPr>
          <w:rFonts w:hint="eastAsia" w:eastAsia="仿宋_GB2312" w:cs="Times New Roman"/>
          <w:sz w:val="32"/>
          <w:szCs w:val="32"/>
          <w:lang w:eastAsia="zh-CN"/>
        </w:rPr>
        <w:t>。</w:t>
      </w:r>
    </w:p>
    <w:p w14:paraId="41F2F42B">
      <w:pPr>
        <w:spacing w:line="560" w:lineRule="exact"/>
        <w:ind w:firstLine="643"/>
        <w:rPr>
          <w:rFonts w:ascii="Times New Roman" w:hAnsi="Times New Roman" w:cs="Times New Roman"/>
          <w:b/>
          <w:bCs/>
          <w:sz w:val="32"/>
          <w:szCs w:val="32"/>
          <w:highlight w:val="none"/>
        </w:rPr>
      </w:pPr>
      <w:r>
        <w:rPr>
          <w:rFonts w:ascii="Times New Roman" w:hAnsi="Times New Roman" w:cs="Times New Roman"/>
          <w:b/>
          <w:bCs/>
          <w:sz w:val="32"/>
          <w:szCs w:val="32"/>
          <w:highlight w:val="none"/>
        </w:rPr>
        <w:t>综上，该指标满分</w:t>
      </w:r>
      <w:r>
        <w:rPr>
          <w:rFonts w:hint="eastAsia" w:cs="Times New Roman"/>
          <w:b/>
          <w:bCs/>
          <w:sz w:val="32"/>
          <w:szCs w:val="32"/>
          <w:highlight w:val="none"/>
          <w:lang w:val="en-US" w:eastAsia="zh-CN"/>
        </w:rPr>
        <w:t>6</w:t>
      </w:r>
      <w:r>
        <w:rPr>
          <w:rFonts w:ascii="Times New Roman" w:hAnsi="Times New Roman" w:cs="Times New Roman"/>
          <w:b/>
          <w:bCs/>
          <w:sz w:val="32"/>
          <w:szCs w:val="32"/>
          <w:highlight w:val="none"/>
        </w:rPr>
        <w:t>分，得分</w:t>
      </w:r>
      <w:r>
        <w:rPr>
          <w:rFonts w:hint="eastAsia" w:cs="Times New Roman"/>
          <w:b/>
          <w:bCs/>
          <w:sz w:val="32"/>
          <w:szCs w:val="32"/>
          <w:highlight w:val="none"/>
          <w:lang w:val="en-US" w:eastAsia="zh-CN"/>
        </w:rPr>
        <w:t>6</w:t>
      </w:r>
      <w:r>
        <w:rPr>
          <w:rFonts w:ascii="Times New Roman" w:hAnsi="Times New Roman" w:cs="Times New Roman"/>
          <w:b/>
          <w:bCs/>
          <w:sz w:val="32"/>
          <w:szCs w:val="32"/>
          <w:highlight w:val="none"/>
        </w:rPr>
        <w:t>分。</w:t>
      </w:r>
    </w:p>
    <w:p w14:paraId="6E97725E">
      <w:pPr>
        <w:spacing w:line="600" w:lineRule="exact"/>
        <w:ind w:firstLine="640" w:firstLineChars="200"/>
        <w:outlineLvl w:val="0"/>
        <w:rPr>
          <w:rFonts w:hint="eastAsia" w:eastAsia="仿宋_GB2312" w:cs="Times New Roman"/>
          <w:sz w:val="32"/>
          <w:szCs w:val="32"/>
          <w:lang w:val="en-US" w:eastAsia="zh-CN"/>
        </w:rPr>
      </w:pPr>
    </w:p>
    <w:p w14:paraId="4A4CE9CB">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2.绩效目标</w:t>
      </w:r>
    </w:p>
    <w:p w14:paraId="13F62BA4">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（1）绩效目标合理性</w:t>
      </w:r>
    </w:p>
    <w:p w14:paraId="7226679F">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得</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分</w:t>
      </w:r>
      <w:r>
        <w:rPr>
          <w:rFonts w:hint="eastAsia" w:eastAsia="仿宋_GB2312" w:cs="Times New Roman"/>
          <w:sz w:val="32"/>
          <w:szCs w:val="32"/>
          <w:lang w:eastAsia="zh-CN"/>
        </w:rPr>
        <w:t>。</w:t>
      </w:r>
    </w:p>
    <w:p w14:paraId="75699D8E">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（2）绩效指标明确性</w:t>
      </w:r>
    </w:p>
    <w:p w14:paraId="0B32764E">
      <w:pPr>
        <w:spacing w:line="600" w:lineRule="exact"/>
        <w:ind w:firstLine="640" w:firstLineChars="200"/>
        <w:outlineLvl w:val="0"/>
        <w:rPr>
          <w:rFonts w:hint="eastAsia" w:eastAsia="仿宋_GB2312" w:cs="Times New Roman"/>
          <w:sz w:val="32"/>
          <w:szCs w:val="32"/>
          <w:lang w:eastAsia="zh-CN"/>
        </w:rPr>
      </w:pPr>
      <w:r>
        <w:rPr>
          <w:rFonts w:hint="default" w:ascii="Times New Roman" w:hAnsi="Times New Roman" w:eastAsia="仿宋_GB2312" w:cs="Times New Roman"/>
          <w:sz w:val="32"/>
          <w:szCs w:val="32"/>
        </w:rPr>
        <w:t>项目设置了明确的预期产出效益和效果，将绩效目标细化分解为具体的绩效指标，</w:t>
      </w:r>
      <w:r>
        <w:rPr>
          <w:rFonts w:hint="eastAsia" w:ascii="Times New Roman" w:hAnsi="Times New Roman" w:eastAsia="仿宋_GB2312" w:cs="Times New Roman"/>
          <w:sz w:val="32"/>
          <w:szCs w:val="32"/>
          <w:lang w:val="en-US" w:eastAsia="zh-CN"/>
        </w:rPr>
        <w:t>通过</w:t>
      </w:r>
      <w:r>
        <w:rPr>
          <w:rFonts w:hint="eastAsia" w:eastAsia="仿宋_GB2312" w:cs="Times New Roman"/>
          <w:sz w:val="32"/>
          <w:szCs w:val="32"/>
          <w:lang w:val="en-US" w:eastAsia="zh-CN"/>
        </w:rPr>
        <w:t>对</w:t>
      </w:r>
      <w:r>
        <w:rPr>
          <w:rFonts w:hint="default" w:ascii="Times New Roman" w:hAnsi="Times New Roman" w:eastAsia="仿宋_GB2312" w:cs="Times New Roman"/>
          <w:sz w:val="32"/>
          <w:szCs w:val="32"/>
          <w:lang w:val="en-US" w:eastAsia="zh-CN"/>
        </w:rPr>
        <w:t>42户牧民越冬放牧点生产用房拆除原有建筑、新建混凝土地坪等，并采用成品房屋吊装方式实施新生产用房</w:t>
      </w:r>
      <w:r>
        <w:rPr>
          <w:rFonts w:hint="eastAsia" w:eastAsia="仿宋_GB2312" w:cs="Times New Roman"/>
          <w:sz w:val="32"/>
          <w:szCs w:val="32"/>
          <w:lang w:val="en-US" w:eastAsia="zh-CN"/>
        </w:rPr>
        <w:t>，提高牧民越冬放牧点用房安全性。</w:t>
      </w:r>
      <w:r>
        <w:rPr>
          <w:rFonts w:hint="default" w:ascii="Times New Roman" w:hAnsi="Times New Roman" w:eastAsia="仿宋_GB2312" w:cs="Times New Roman"/>
          <w:sz w:val="32"/>
          <w:szCs w:val="32"/>
        </w:rPr>
        <w:t>绩效目标与项目目标任务数相对应，绩效目标设定的绩效指标清晰、细化、可衡量，得</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分</w:t>
      </w:r>
      <w:r>
        <w:rPr>
          <w:rFonts w:hint="eastAsia" w:eastAsia="仿宋_GB2312" w:cs="Times New Roman"/>
          <w:sz w:val="32"/>
          <w:szCs w:val="32"/>
          <w:lang w:eastAsia="zh-CN"/>
        </w:rPr>
        <w:t>。</w:t>
      </w:r>
    </w:p>
    <w:p w14:paraId="60653105">
      <w:pPr>
        <w:spacing w:line="560" w:lineRule="exact"/>
        <w:ind w:firstLine="643"/>
        <w:rPr>
          <w:rFonts w:ascii="Times New Roman" w:hAnsi="Times New Roman" w:cs="Times New Roman"/>
          <w:b/>
          <w:bCs/>
          <w:sz w:val="32"/>
          <w:szCs w:val="32"/>
          <w:highlight w:val="none"/>
        </w:rPr>
      </w:pPr>
      <w:r>
        <w:rPr>
          <w:rFonts w:ascii="Times New Roman" w:hAnsi="Times New Roman" w:cs="Times New Roman"/>
          <w:b/>
          <w:bCs/>
          <w:sz w:val="32"/>
          <w:szCs w:val="32"/>
          <w:highlight w:val="none"/>
        </w:rPr>
        <w:t>综上，该指标满分</w:t>
      </w:r>
      <w:r>
        <w:rPr>
          <w:rFonts w:hint="eastAsia" w:cs="Times New Roman"/>
          <w:b/>
          <w:bCs/>
          <w:sz w:val="32"/>
          <w:szCs w:val="32"/>
          <w:highlight w:val="none"/>
          <w:lang w:val="en-US" w:eastAsia="zh-CN"/>
        </w:rPr>
        <w:t>6</w:t>
      </w:r>
      <w:r>
        <w:rPr>
          <w:rFonts w:ascii="Times New Roman" w:hAnsi="Times New Roman" w:cs="Times New Roman"/>
          <w:b/>
          <w:bCs/>
          <w:sz w:val="32"/>
          <w:szCs w:val="32"/>
          <w:highlight w:val="none"/>
        </w:rPr>
        <w:t>分，得分</w:t>
      </w:r>
      <w:r>
        <w:rPr>
          <w:rFonts w:hint="eastAsia" w:cs="Times New Roman"/>
          <w:b/>
          <w:bCs/>
          <w:sz w:val="32"/>
          <w:szCs w:val="32"/>
          <w:highlight w:val="none"/>
          <w:lang w:val="en-US" w:eastAsia="zh-CN"/>
        </w:rPr>
        <w:t>6</w:t>
      </w:r>
      <w:r>
        <w:rPr>
          <w:rFonts w:ascii="Times New Roman" w:hAnsi="Times New Roman" w:cs="Times New Roman"/>
          <w:b/>
          <w:bCs/>
          <w:sz w:val="32"/>
          <w:szCs w:val="32"/>
          <w:highlight w:val="none"/>
        </w:rPr>
        <w:t>分。</w:t>
      </w:r>
    </w:p>
    <w:p w14:paraId="1ACA8CE4">
      <w:pPr>
        <w:spacing w:line="600" w:lineRule="exact"/>
        <w:ind w:firstLine="640" w:firstLineChars="200"/>
        <w:outlineLvl w:val="0"/>
        <w:rPr>
          <w:rFonts w:hint="default" w:eastAsia="仿宋_GB2312" w:cs="Times New Roman"/>
          <w:sz w:val="32"/>
          <w:szCs w:val="32"/>
          <w:lang w:eastAsia="zh-CN"/>
        </w:rPr>
      </w:pPr>
    </w:p>
    <w:p w14:paraId="7EDB1965">
      <w:pPr>
        <w:rPr>
          <w:rFonts w:hint="default" w:ascii="Times New Roman" w:hAnsi="Times New Roman" w:cs="Times New Roman"/>
        </w:rPr>
      </w:pPr>
      <w:r>
        <w:br w:type="page"/>
      </w:r>
    </w:p>
    <w:p w14:paraId="0FC6C5DB">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3.资金投入</w:t>
      </w:r>
    </w:p>
    <w:p w14:paraId="6508DCCB">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（1）预算编制科学性</w:t>
      </w:r>
    </w:p>
    <w:p w14:paraId="21AC9129">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项目资金预算科学，项目预算编制经过科学论证，预算内容与项目内容匹配，预算额度测算依据充分，按照标准编制，预算确定的项目投资额或资金量与工作任务相匹配；预算资金分配依据充分，资金分配额度合理</w:t>
      </w:r>
      <w:r>
        <w:rPr>
          <w:rFonts w:hint="default" w:ascii="Times New Roman" w:hAnsi="Times New Roman" w:eastAsia="仿宋_GB2312" w:cs="Times New Roman"/>
          <w:sz w:val="32"/>
          <w:szCs w:val="32"/>
          <w:highlight w:val="none"/>
        </w:rPr>
        <w:t>。故预算编制科学性指标得</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分</w:t>
      </w:r>
      <w:r>
        <w:rPr>
          <w:rFonts w:hint="eastAsia" w:ascii="Times New Roman" w:hAnsi="Times New Roman" w:eastAsia="仿宋_GB2312" w:cs="Times New Roman"/>
          <w:sz w:val="32"/>
          <w:szCs w:val="32"/>
          <w:highlight w:val="none"/>
          <w:lang w:eastAsia="zh-CN"/>
        </w:rPr>
        <w:t>。</w:t>
      </w:r>
    </w:p>
    <w:p w14:paraId="5E36BA65">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（2）资金分配合理性</w:t>
      </w:r>
    </w:p>
    <w:p w14:paraId="65B4D453">
      <w:pPr>
        <w:spacing w:line="600" w:lineRule="exact"/>
        <w:ind w:firstLine="640" w:firstLineChars="200"/>
        <w:outlineLvl w:val="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资金预算内容与项目内容匹配，预算额度测算依据充分，按照标准编制，预算确定的项目投资额或资金量与工作任务相匹配；预算资金分配依据充分，资金分配额度合理资金分配合理</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rPr>
        <w:t>故资金分配合理性指标</w:t>
      </w:r>
      <w:r>
        <w:rPr>
          <w:rFonts w:hint="default" w:ascii="Times New Roman" w:hAnsi="Times New Roman" w:eastAsia="仿宋_GB2312" w:cs="Times New Roman"/>
          <w:sz w:val="32"/>
          <w:szCs w:val="32"/>
        </w:rPr>
        <w:t>得</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分</w:t>
      </w:r>
      <w:r>
        <w:rPr>
          <w:rFonts w:hint="eastAsia" w:ascii="Times New Roman" w:hAnsi="Times New Roman" w:eastAsia="仿宋_GB2312" w:cs="Times New Roman"/>
          <w:sz w:val="32"/>
          <w:szCs w:val="32"/>
          <w:lang w:eastAsia="zh-CN"/>
        </w:rPr>
        <w:t>。</w:t>
      </w:r>
    </w:p>
    <w:p w14:paraId="571E98B8">
      <w:pPr>
        <w:spacing w:line="560" w:lineRule="exact"/>
        <w:ind w:firstLine="643"/>
        <w:rPr>
          <w:rFonts w:ascii="Times New Roman" w:hAnsi="Times New Roman" w:cs="Times New Roman"/>
          <w:b/>
          <w:bCs/>
          <w:sz w:val="32"/>
          <w:szCs w:val="32"/>
          <w:highlight w:val="none"/>
        </w:rPr>
      </w:pPr>
      <w:r>
        <w:rPr>
          <w:rFonts w:ascii="Times New Roman" w:hAnsi="Times New Roman" w:cs="Times New Roman"/>
          <w:b/>
          <w:bCs/>
          <w:sz w:val="32"/>
          <w:szCs w:val="32"/>
          <w:highlight w:val="none"/>
        </w:rPr>
        <w:t>综上，该指标满分</w:t>
      </w:r>
      <w:r>
        <w:rPr>
          <w:rFonts w:hint="eastAsia" w:cs="Times New Roman"/>
          <w:b/>
          <w:bCs/>
          <w:sz w:val="32"/>
          <w:szCs w:val="32"/>
          <w:highlight w:val="none"/>
          <w:lang w:val="en-US" w:eastAsia="zh-CN"/>
        </w:rPr>
        <w:t>8</w:t>
      </w:r>
      <w:r>
        <w:rPr>
          <w:rFonts w:ascii="Times New Roman" w:hAnsi="Times New Roman" w:cs="Times New Roman"/>
          <w:b/>
          <w:bCs/>
          <w:sz w:val="32"/>
          <w:szCs w:val="32"/>
          <w:highlight w:val="none"/>
        </w:rPr>
        <w:t>分，得分</w:t>
      </w:r>
      <w:r>
        <w:rPr>
          <w:rFonts w:hint="eastAsia" w:cs="Times New Roman"/>
          <w:b/>
          <w:bCs/>
          <w:sz w:val="32"/>
          <w:szCs w:val="32"/>
          <w:highlight w:val="none"/>
          <w:lang w:val="en-US" w:eastAsia="zh-CN"/>
        </w:rPr>
        <w:t>8</w:t>
      </w:r>
      <w:r>
        <w:rPr>
          <w:rFonts w:ascii="Times New Roman" w:hAnsi="Times New Roman" w:cs="Times New Roman"/>
          <w:b/>
          <w:bCs/>
          <w:sz w:val="32"/>
          <w:szCs w:val="32"/>
          <w:highlight w:val="none"/>
        </w:rPr>
        <w:t>分。</w:t>
      </w:r>
    </w:p>
    <w:p w14:paraId="6089EB48">
      <w:pPr>
        <w:spacing w:line="600" w:lineRule="exact"/>
        <w:ind w:firstLine="640" w:firstLineChars="200"/>
        <w:outlineLvl w:val="0"/>
        <w:rPr>
          <w:rFonts w:hint="default" w:ascii="Times New Roman" w:hAnsi="Times New Roman" w:eastAsia="仿宋_GB2312" w:cs="Times New Roman"/>
          <w:sz w:val="32"/>
          <w:szCs w:val="32"/>
          <w:lang w:eastAsia="zh-CN"/>
        </w:rPr>
      </w:pPr>
    </w:p>
    <w:p w14:paraId="67857489">
      <w:pPr>
        <w:pStyle w:val="8"/>
        <w:numPr>
          <w:ilvl w:val="0"/>
          <w:numId w:val="4"/>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14:paraId="3555AC94">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17.15</w:t>
      </w:r>
      <w:r>
        <w:rPr>
          <w:rFonts w:hint="default" w:ascii="Times New Roman" w:hAnsi="Times New Roman" w:eastAsia="仿宋_GB2312" w:cs="Times New Roman"/>
          <w:sz w:val="32"/>
          <w:szCs w:val="32"/>
          <w:highlight w:val="none"/>
        </w:rPr>
        <w:t>分，得分率为</w:t>
      </w:r>
      <w:r>
        <w:rPr>
          <w:rFonts w:hint="eastAsia" w:eastAsia="仿宋_GB2312" w:cs="Times New Roman"/>
          <w:sz w:val="32"/>
          <w:szCs w:val="32"/>
          <w:highlight w:val="none"/>
          <w:lang w:val="en-US" w:eastAsia="zh-CN"/>
        </w:rPr>
        <w:t>85.75</w:t>
      </w:r>
      <w:r>
        <w:rPr>
          <w:rFonts w:hint="default" w:ascii="Times New Roman" w:hAnsi="Times New Roman" w:eastAsia="仿宋_GB2312" w:cs="Times New Roman"/>
          <w:sz w:val="32"/>
          <w:szCs w:val="32"/>
          <w:highlight w:val="none"/>
        </w:rPr>
        <w:t>%。</w:t>
      </w:r>
    </w:p>
    <w:p w14:paraId="3309D9EF">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项目资金使用符合相关的财务管理制度规定，能够反映和考核项目资金的规范运行情况；项目实施单位的财务和业务管理制度健全，能够反映和考核财务和业务管理制度对项目顺利实施的保障情况。</w:t>
      </w:r>
    </w:p>
    <w:p w14:paraId="5097DC4E">
      <w:pPr>
        <w:pStyle w:val="19"/>
        <w:spacing w:line="560" w:lineRule="exact"/>
        <w:ind w:firstLine="64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1.资金管理</w:t>
      </w:r>
    </w:p>
    <w:p w14:paraId="7A2EBE95">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（1）资金到位率</w:t>
      </w:r>
    </w:p>
    <w:p w14:paraId="68592D82">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eastAsia" w:eastAsia="仿宋_GB2312" w:cs="Times New Roman"/>
          <w:sz w:val="32"/>
          <w:szCs w:val="32"/>
          <w:lang w:val="en-US" w:eastAsia="zh-CN"/>
        </w:rPr>
        <w:t>根据</w:t>
      </w:r>
      <w:r>
        <w:rPr>
          <w:rFonts w:hint="default" w:ascii="Times New Roman" w:hAnsi="Times New Roman" w:eastAsia="仿宋_GB2312" w:cs="Times New Roman"/>
          <w:sz w:val="32"/>
          <w:szCs w:val="32"/>
        </w:rPr>
        <w:t>《关于确认牧民越冬放牧点生产用房(居住)有关情况的通知》《乌财建[2024]210号关于下达2024年城乡坑震安居工程建设民生实事资金预算的通知》</w:t>
      </w:r>
      <w:r>
        <w:rPr>
          <w:rFonts w:hint="eastAsia" w:eastAsia="仿宋_GB2312" w:cs="Times New Roman"/>
          <w:sz w:val="32"/>
          <w:szCs w:val="32"/>
          <w:lang w:val="en-US" w:eastAsia="zh-CN"/>
        </w:rPr>
        <w:t>文件，</w:t>
      </w:r>
      <w:r>
        <w:rPr>
          <w:rFonts w:hint="default" w:ascii="Times New Roman" w:hAnsi="Times New Roman" w:eastAsia="仿宋_GB2312" w:cs="Times New Roman"/>
          <w:sz w:val="32"/>
          <w:szCs w:val="32"/>
          <w:highlight w:val="none"/>
        </w:rPr>
        <w:t>本项目总投资</w:t>
      </w:r>
      <w:r>
        <w:rPr>
          <w:rFonts w:hint="eastAsia" w:ascii="Times New Roman" w:hAnsi="Times New Roman" w:eastAsia="仿宋_GB2312" w:cs="Times New Roman"/>
          <w:sz w:val="32"/>
          <w:szCs w:val="32"/>
          <w:highlight w:val="none"/>
          <w:lang w:val="en-US" w:eastAsia="zh-CN"/>
        </w:rPr>
        <w:t>126</w:t>
      </w:r>
      <w:r>
        <w:rPr>
          <w:rFonts w:hint="default" w:ascii="Times New Roman" w:hAnsi="Times New Roman" w:eastAsia="仿宋_GB2312" w:cs="Times New Roman"/>
          <w:sz w:val="32"/>
          <w:szCs w:val="32"/>
          <w:highlight w:val="none"/>
        </w:rPr>
        <w:t>万元，财政资金</w:t>
      </w:r>
      <w:r>
        <w:rPr>
          <w:rFonts w:hint="eastAsia" w:eastAsia="仿宋_GB2312" w:cs="Times New Roman"/>
          <w:sz w:val="32"/>
          <w:szCs w:val="32"/>
          <w:highlight w:val="none"/>
          <w:lang w:val="en-US" w:eastAsia="zh-CN"/>
        </w:rPr>
        <w:t>126万元于年中追加2024年8月</w:t>
      </w:r>
      <w:r>
        <w:rPr>
          <w:rFonts w:hint="default" w:ascii="Times New Roman" w:hAnsi="Times New Roman" w:eastAsia="仿宋_GB2312" w:cs="Times New Roman"/>
          <w:sz w:val="32"/>
          <w:szCs w:val="32"/>
          <w:highlight w:val="none"/>
        </w:rPr>
        <w:t>及时足额到位，到位率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%，预算资金按计划进度执行。故资金到位率指标得分</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分。</w:t>
      </w:r>
    </w:p>
    <w:p w14:paraId="3261F721">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（2）预算执行率</w:t>
      </w:r>
    </w:p>
    <w:p w14:paraId="763A1A85">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预算编制较为详细，项目资金支出总体能够按照预算执行，</w:t>
      </w:r>
      <w:r>
        <w:rPr>
          <w:rFonts w:hint="eastAsia" w:eastAsia="仿宋_GB2312" w:cs="Times New Roman"/>
          <w:sz w:val="32"/>
          <w:szCs w:val="32"/>
          <w:highlight w:val="none"/>
          <w:lang w:val="en-US" w:eastAsia="zh-CN"/>
        </w:rPr>
        <w:t>因该项目资金为下半年下达，项目前期采购、招标等工作需进行，手续齐全后才可支付，故资金支付</w:t>
      </w:r>
      <w:r>
        <w:rPr>
          <w:rFonts w:hint="default" w:ascii="Times New Roman" w:hAnsi="Times New Roman" w:eastAsia="仿宋_GB2312" w:cs="Times New Roman"/>
          <w:sz w:val="32"/>
          <w:szCs w:val="32"/>
          <w:highlight w:val="none"/>
        </w:rPr>
        <w:t>预算资金支出</w:t>
      </w:r>
      <w:r>
        <w:rPr>
          <w:rFonts w:hint="eastAsia" w:eastAsia="仿宋_GB2312" w:cs="Times New Roman"/>
          <w:sz w:val="32"/>
          <w:szCs w:val="32"/>
          <w:highlight w:val="none"/>
          <w:lang w:val="en-US" w:eastAsia="zh-CN"/>
        </w:rPr>
        <w:t>36.33</w:t>
      </w:r>
      <w:r>
        <w:rPr>
          <w:rFonts w:hint="default" w:ascii="Times New Roman" w:hAnsi="Times New Roman" w:eastAsia="仿宋_GB2312" w:cs="Times New Roman"/>
          <w:sz w:val="32"/>
          <w:szCs w:val="32"/>
          <w:highlight w:val="none"/>
        </w:rPr>
        <w:t>万元，预算执行率为</w:t>
      </w:r>
      <w:r>
        <w:rPr>
          <w:rFonts w:hint="eastAsia" w:eastAsia="仿宋_GB2312" w:cs="Times New Roman"/>
          <w:sz w:val="32"/>
          <w:szCs w:val="32"/>
          <w:highlight w:val="none"/>
          <w:lang w:val="en-US" w:eastAsia="zh-CN"/>
        </w:rPr>
        <w:t>28.83</w:t>
      </w:r>
      <w:r>
        <w:rPr>
          <w:rFonts w:hint="default" w:ascii="Times New Roman" w:hAnsi="Times New Roman" w:eastAsia="仿宋_GB2312" w:cs="Times New Roman"/>
          <w:sz w:val="32"/>
          <w:szCs w:val="32"/>
          <w:highlight w:val="none"/>
        </w:rPr>
        <w:t>%。</w:t>
      </w:r>
      <w:r>
        <w:rPr>
          <w:rFonts w:ascii="Times New Roman" w:hAnsi="Times New Roman" w:cs="Times New Roman"/>
          <w:sz w:val="32"/>
          <w:szCs w:val="32"/>
          <w:highlight w:val="none"/>
        </w:rPr>
        <w:t>故预算执行率得分为</w:t>
      </w:r>
      <w:r>
        <w:rPr>
          <w:rFonts w:hint="eastAsia" w:cs="Times New Roman"/>
          <w:sz w:val="32"/>
          <w:szCs w:val="32"/>
          <w:highlight w:val="none"/>
          <w:lang w:val="en-US" w:eastAsia="zh-CN"/>
        </w:rPr>
        <w:t>1.15</w:t>
      </w:r>
      <w:r>
        <w:rPr>
          <w:rFonts w:ascii="Times New Roman" w:hAnsi="Times New Roman" w:cs="Times New Roman"/>
          <w:sz w:val="32"/>
          <w:szCs w:val="32"/>
          <w:highlight w:val="none"/>
        </w:rPr>
        <w:t>分。</w:t>
      </w:r>
    </w:p>
    <w:p w14:paraId="3C3B3E62">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（3）资金使用合规性</w:t>
      </w:r>
    </w:p>
    <w:p w14:paraId="362BCF56">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严格按照预期绩效目标执行预算资金。制定了相关的制度和管理规定，对项目经费使用进行规范管理，财务制度健全、执行严格。本项目资金的使用符合《石人子沟街道内部控制管理制度汇编》、《石人子沟街道经费管理使用办法》有关专项资金管理办法的规定。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故资金使用合规性指标</w:t>
      </w:r>
      <w:r>
        <w:rPr>
          <w:rFonts w:hint="default" w:ascii="Times New Roman" w:hAnsi="Times New Roman" w:eastAsia="仿宋_GB2312" w:cs="Times New Roman"/>
          <w:sz w:val="32"/>
          <w:szCs w:val="32"/>
          <w:highlight w:val="none"/>
        </w:rPr>
        <w:t>得分</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分。</w:t>
      </w:r>
    </w:p>
    <w:p w14:paraId="4D46CD4A">
      <w:pPr>
        <w:spacing w:line="560" w:lineRule="exact"/>
        <w:ind w:firstLine="643"/>
        <w:rPr>
          <w:rFonts w:ascii="Times New Roman" w:hAnsi="Times New Roman" w:cs="Times New Roman"/>
          <w:b/>
          <w:bCs/>
          <w:sz w:val="32"/>
          <w:szCs w:val="32"/>
          <w:highlight w:val="none"/>
        </w:rPr>
      </w:pPr>
      <w:r>
        <w:rPr>
          <w:rFonts w:hint="eastAsia" w:ascii="Times New Roman" w:hAnsi="Times New Roman" w:cs="Times New Roman"/>
          <w:b/>
          <w:bCs/>
          <w:sz w:val="32"/>
          <w:szCs w:val="32"/>
          <w:highlight w:val="none"/>
        </w:rPr>
        <w:t>综上，该指标满分</w:t>
      </w:r>
      <w:r>
        <w:rPr>
          <w:rFonts w:ascii="Times New Roman" w:hAnsi="Times New Roman" w:cs="Times New Roman"/>
          <w:b/>
          <w:bCs/>
          <w:sz w:val="32"/>
          <w:szCs w:val="32"/>
          <w:highlight w:val="none"/>
        </w:rPr>
        <w:t>1</w:t>
      </w:r>
      <w:r>
        <w:rPr>
          <w:rFonts w:hint="eastAsia" w:cs="Times New Roman"/>
          <w:b/>
          <w:bCs/>
          <w:sz w:val="32"/>
          <w:szCs w:val="32"/>
          <w:highlight w:val="none"/>
          <w:lang w:val="en-US" w:eastAsia="zh-CN"/>
        </w:rPr>
        <w:t>2</w:t>
      </w:r>
      <w:r>
        <w:rPr>
          <w:rFonts w:hint="eastAsia" w:ascii="Times New Roman" w:hAnsi="Times New Roman" w:cs="Times New Roman"/>
          <w:b/>
          <w:bCs/>
          <w:sz w:val="32"/>
          <w:szCs w:val="32"/>
          <w:highlight w:val="none"/>
        </w:rPr>
        <w:t>分，得分</w:t>
      </w:r>
      <w:r>
        <w:rPr>
          <w:rFonts w:hint="eastAsia" w:cs="Times New Roman"/>
          <w:b/>
          <w:bCs/>
          <w:sz w:val="32"/>
          <w:szCs w:val="32"/>
          <w:highlight w:val="none"/>
          <w:lang w:val="en-US" w:eastAsia="zh-CN"/>
        </w:rPr>
        <w:t>9.15</w:t>
      </w:r>
      <w:r>
        <w:rPr>
          <w:rFonts w:hint="eastAsia" w:ascii="Times New Roman" w:hAnsi="Times New Roman" w:cs="Times New Roman"/>
          <w:b/>
          <w:bCs/>
          <w:sz w:val="32"/>
          <w:szCs w:val="32"/>
          <w:highlight w:val="none"/>
        </w:rPr>
        <w:t>分。</w:t>
      </w:r>
    </w:p>
    <w:p w14:paraId="43421E68">
      <w:pPr>
        <w:spacing w:line="600" w:lineRule="exact"/>
        <w:outlineLvl w:val="0"/>
        <w:rPr>
          <w:rFonts w:hint="default" w:ascii="Times New Roman" w:hAnsi="Times New Roman" w:eastAsia="仿宋_GB2312" w:cs="Times New Roman"/>
          <w:sz w:val="32"/>
          <w:szCs w:val="32"/>
        </w:rPr>
      </w:pPr>
    </w:p>
    <w:p w14:paraId="34485316">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2.组织实施</w:t>
      </w:r>
    </w:p>
    <w:p w14:paraId="1E3D3631">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（1）管理制度健全性</w:t>
      </w:r>
    </w:p>
    <w:p w14:paraId="7884DC41">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制定了相关管理办法，</w:t>
      </w:r>
      <w:r>
        <w:rPr>
          <w:rFonts w:hint="eastAsia" w:eastAsia="仿宋_GB2312" w:cs="Times New Roman"/>
          <w:sz w:val="32"/>
          <w:szCs w:val="32"/>
          <w:lang w:val="en-US" w:eastAsia="zh-CN"/>
        </w:rPr>
        <w:t>按照</w:t>
      </w:r>
      <w:r>
        <w:rPr>
          <w:rFonts w:hint="default" w:ascii="Times New Roman" w:hAnsi="Times New Roman" w:eastAsia="仿宋_GB2312" w:cs="Times New Roman"/>
          <w:sz w:val="32"/>
          <w:szCs w:val="32"/>
        </w:rPr>
        <w:t>《石人子沟街道内部控制管理制度汇编》、《石人子沟街道经费管理使用办法》</w:t>
      </w:r>
      <w:r>
        <w:rPr>
          <w:rFonts w:hint="eastAsia" w:eastAsia="仿宋_GB2312" w:cs="Times New Roman"/>
          <w:sz w:val="32"/>
          <w:szCs w:val="32"/>
          <w:lang w:val="en-US" w:eastAsia="zh-CN"/>
        </w:rPr>
        <w:t>制度，</w:t>
      </w:r>
      <w:r>
        <w:rPr>
          <w:rFonts w:hint="default" w:ascii="Times New Roman" w:hAnsi="Times New Roman" w:eastAsia="仿宋_GB2312" w:cs="Times New Roman"/>
          <w:sz w:val="32"/>
          <w:szCs w:val="32"/>
        </w:rPr>
        <w:t>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故管理制度健全性得分为</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分。</w:t>
      </w:r>
    </w:p>
    <w:p w14:paraId="59AB4D40">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（2）制度执行有效性</w:t>
      </w:r>
    </w:p>
    <w:p w14:paraId="594751FD">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对资金使用的合法合规性进行监督，年末对资金使用效果进行评价。项目管理、实施人员落实到位，有效按照计划执行。项目执行情况等资料齐全，项目相关手续完备，将会计凭证、</w:t>
      </w:r>
      <w:r>
        <w:rPr>
          <w:rFonts w:hint="eastAsia" w:ascii="Times New Roman" w:hAnsi="Times New Roman" w:eastAsia="仿宋_GB2312" w:cs="Times New Roman"/>
          <w:sz w:val="32"/>
          <w:szCs w:val="32"/>
        </w:rPr>
        <w:t>合同、采购单、验收单、</w:t>
      </w:r>
      <w:r>
        <w:rPr>
          <w:rFonts w:hint="eastAsia" w:eastAsia="仿宋_GB2312" w:cs="Times New Roman"/>
          <w:sz w:val="32"/>
          <w:szCs w:val="32"/>
          <w:lang w:val="en-US" w:eastAsia="zh-CN"/>
        </w:rPr>
        <w:t>中标通知书等材料</w:t>
      </w:r>
      <w:r>
        <w:rPr>
          <w:rFonts w:hint="default" w:ascii="Times New Roman" w:hAnsi="Times New Roman" w:eastAsia="仿宋_GB2312" w:cs="Times New Roman"/>
          <w:sz w:val="32"/>
          <w:szCs w:val="32"/>
        </w:rPr>
        <w:t>及时进行归档。故制度执行有效性指标得分4分。</w:t>
      </w:r>
    </w:p>
    <w:p w14:paraId="4FAD2C8D">
      <w:pPr>
        <w:spacing w:line="560" w:lineRule="exact"/>
        <w:ind w:firstLine="643"/>
        <w:rPr>
          <w:rFonts w:ascii="Times New Roman" w:hAnsi="Times New Roman" w:cs="Times New Roman"/>
          <w:b/>
          <w:bCs/>
          <w:sz w:val="32"/>
          <w:szCs w:val="32"/>
          <w:highlight w:val="none"/>
        </w:rPr>
      </w:pPr>
      <w:r>
        <w:rPr>
          <w:rFonts w:ascii="Times New Roman" w:hAnsi="Times New Roman" w:cs="Times New Roman"/>
          <w:b/>
          <w:bCs/>
          <w:sz w:val="32"/>
          <w:szCs w:val="32"/>
          <w:highlight w:val="none"/>
        </w:rPr>
        <w:t>综上，该指标满分</w:t>
      </w:r>
      <w:r>
        <w:rPr>
          <w:rFonts w:hint="eastAsia" w:cs="Times New Roman"/>
          <w:b/>
          <w:bCs/>
          <w:sz w:val="32"/>
          <w:szCs w:val="32"/>
          <w:highlight w:val="none"/>
          <w:lang w:val="en-US" w:eastAsia="zh-CN"/>
        </w:rPr>
        <w:t>8</w:t>
      </w:r>
      <w:r>
        <w:rPr>
          <w:rFonts w:ascii="Times New Roman" w:hAnsi="Times New Roman" w:cs="Times New Roman"/>
          <w:b/>
          <w:bCs/>
          <w:sz w:val="32"/>
          <w:szCs w:val="32"/>
          <w:highlight w:val="none"/>
        </w:rPr>
        <w:t>分，得分</w:t>
      </w:r>
      <w:r>
        <w:rPr>
          <w:rFonts w:hint="eastAsia" w:cs="Times New Roman"/>
          <w:b/>
          <w:bCs/>
          <w:sz w:val="32"/>
          <w:szCs w:val="32"/>
          <w:highlight w:val="none"/>
          <w:lang w:val="en-US" w:eastAsia="zh-CN"/>
        </w:rPr>
        <w:t>8</w:t>
      </w:r>
      <w:r>
        <w:rPr>
          <w:rFonts w:ascii="Times New Roman" w:hAnsi="Times New Roman" w:cs="Times New Roman"/>
          <w:b/>
          <w:bCs/>
          <w:sz w:val="32"/>
          <w:szCs w:val="32"/>
          <w:highlight w:val="none"/>
        </w:rPr>
        <w:t>分。</w:t>
      </w:r>
    </w:p>
    <w:p w14:paraId="1D807915">
      <w:pPr>
        <w:spacing w:line="600" w:lineRule="exact"/>
        <w:outlineLvl w:val="0"/>
        <w:rPr>
          <w:rFonts w:hint="default" w:ascii="Times New Roman" w:hAnsi="Times New Roman" w:eastAsia="仿宋_GB2312" w:cs="Times New Roman"/>
          <w:sz w:val="32"/>
          <w:szCs w:val="32"/>
        </w:rPr>
      </w:pPr>
    </w:p>
    <w:p w14:paraId="7F02E8F1">
      <w:pPr>
        <w:pStyle w:val="9"/>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项目产出情况</w:t>
      </w:r>
    </w:p>
    <w:p w14:paraId="48FD1B45">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项目产</w:t>
      </w:r>
      <w:r>
        <w:rPr>
          <w:rFonts w:hint="default" w:ascii="Times New Roman" w:hAnsi="Times New Roman" w:eastAsia="仿宋_GB2312" w:cs="Times New Roman"/>
          <w:sz w:val="32"/>
          <w:szCs w:val="32"/>
          <w:highlight w:val="none"/>
        </w:rPr>
        <w:t>出类指标包括产出数量、产出质量、产出时效、产出成本四方面的内容，由</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%。具体产出</w:t>
      </w:r>
      <w:r>
        <w:rPr>
          <w:rFonts w:hint="default" w:ascii="Times New Roman" w:hAnsi="Times New Roman" w:eastAsia="仿宋_GB2312" w:cs="Times New Roman"/>
          <w:sz w:val="32"/>
          <w:szCs w:val="32"/>
        </w:rPr>
        <w:t>指标完成情况如下：</w:t>
      </w:r>
    </w:p>
    <w:p w14:paraId="19F5957B">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1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①</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数量指标：</w:t>
      </w:r>
    </w:p>
    <w:p w14:paraId="0376962A">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指标1：打造越冬放牧用房，指标值：</w:t>
      </w:r>
      <w:r>
        <w:rPr>
          <w:rFonts w:hint="eastAsia" w:eastAsia="仿宋_GB2312" w:cs="Times New Roman"/>
          <w:sz w:val="32"/>
          <w:szCs w:val="32"/>
          <w:lang w:val="en-US" w:eastAsia="zh-CN"/>
        </w:rPr>
        <w:t>=42个</w:t>
      </w:r>
      <w:r>
        <w:rPr>
          <w:rFonts w:hint="default" w:ascii="Times New Roman" w:hAnsi="Times New Roman" w:eastAsia="仿宋_GB2312" w:cs="Times New Roman"/>
          <w:sz w:val="32"/>
          <w:szCs w:val="32"/>
        </w:rPr>
        <w:t>，实际完成值：</w:t>
      </w:r>
      <w:r>
        <w:rPr>
          <w:rFonts w:hint="eastAsia" w:eastAsia="仿宋_GB2312" w:cs="Times New Roman"/>
          <w:sz w:val="32"/>
          <w:szCs w:val="32"/>
          <w:lang w:val="en-US" w:eastAsia="zh-CN"/>
        </w:rPr>
        <w:t>42个</w:t>
      </w:r>
      <w:r>
        <w:rPr>
          <w:rFonts w:hint="default" w:ascii="Times New Roman" w:hAnsi="Times New Roman" w:eastAsia="仿宋_GB2312" w:cs="Times New Roman"/>
          <w:sz w:val="32"/>
          <w:szCs w:val="32"/>
        </w:rPr>
        <w:t>，指标完成率</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rPr>
        <w:t>%。</w:t>
      </w:r>
    </w:p>
    <w:p w14:paraId="29083ABB">
      <w:pPr>
        <w:autoSpaceDE w:val="0"/>
        <w:spacing w:line="560" w:lineRule="exact"/>
        <w:ind w:firstLine="643"/>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故</w:t>
      </w:r>
      <w:r>
        <w:rPr>
          <w:rFonts w:hint="eastAsia" w:eastAsia="仿宋_GB2312" w:cs="Times New Roman"/>
          <w:sz w:val="32"/>
          <w:szCs w:val="32"/>
          <w:lang w:val="en-US" w:eastAsia="zh-CN"/>
        </w:rPr>
        <w:t>产出数量指标，</w:t>
      </w:r>
      <w:r>
        <w:rPr>
          <w:rFonts w:hint="eastAsia" w:ascii="Times New Roman" w:hAnsi="Times New Roman" w:eastAsia="仿宋_GB2312" w:cs="Times New Roman"/>
          <w:sz w:val="32"/>
          <w:szCs w:val="32"/>
        </w:rPr>
        <w:t>得分为10分。</w:t>
      </w:r>
    </w:p>
    <w:p w14:paraId="7555DFC3">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2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②</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质量指标：</w:t>
      </w:r>
    </w:p>
    <w:p w14:paraId="5EA9930A">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指标1：打造用房验收合格率，指标值：&gt;=95%，实际完成值：</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rPr>
        <w:t>，指标完成率</w:t>
      </w:r>
      <w:r>
        <w:rPr>
          <w:rFonts w:hint="eastAsia" w:eastAsia="仿宋_GB2312" w:cs="Times New Roman"/>
          <w:sz w:val="32"/>
          <w:szCs w:val="32"/>
          <w:lang w:val="en-US" w:eastAsia="zh-CN"/>
        </w:rPr>
        <w:t>105.26%</w:t>
      </w:r>
      <w:r>
        <w:rPr>
          <w:rFonts w:hint="default" w:ascii="Times New Roman" w:hAnsi="Times New Roman" w:eastAsia="仿宋_GB2312" w:cs="Times New Roman"/>
          <w:sz w:val="32"/>
          <w:szCs w:val="32"/>
        </w:rPr>
        <w:t>。</w:t>
      </w:r>
    </w:p>
    <w:p w14:paraId="1BCF2DC8">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指标2：经费支付准确率，指标值：&gt;=95%，实际完成值</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rPr>
        <w:t>，指标完成率</w:t>
      </w:r>
      <w:r>
        <w:rPr>
          <w:rFonts w:hint="eastAsia" w:eastAsia="仿宋_GB2312" w:cs="Times New Roman"/>
          <w:sz w:val="32"/>
          <w:szCs w:val="32"/>
          <w:lang w:val="en-US" w:eastAsia="zh-CN"/>
        </w:rPr>
        <w:t>105.26%</w:t>
      </w:r>
      <w:r>
        <w:rPr>
          <w:rFonts w:hint="default" w:ascii="Times New Roman" w:hAnsi="Times New Roman" w:eastAsia="仿宋_GB2312" w:cs="Times New Roman"/>
          <w:sz w:val="32"/>
          <w:szCs w:val="32"/>
        </w:rPr>
        <w:t>。</w:t>
      </w:r>
    </w:p>
    <w:p w14:paraId="4D50ED13">
      <w:pPr>
        <w:spacing w:line="600" w:lineRule="exact"/>
        <w:ind w:firstLine="640" w:firstLineChars="200"/>
        <w:outlineLvl w:val="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故</w:t>
      </w:r>
      <w:r>
        <w:rPr>
          <w:rFonts w:hint="eastAsia" w:eastAsia="仿宋_GB2312" w:cs="Times New Roman"/>
          <w:sz w:val="32"/>
          <w:szCs w:val="32"/>
          <w:lang w:val="en-US" w:eastAsia="zh-CN"/>
        </w:rPr>
        <w:t>产出质量指标，得分为10分。</w:t>
      </w:r>
    </w:p>
    <w:p w14:paraId="273BA426">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3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③</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时效指标：</w:t>
      </w:r>
    </w:p>
    <w:p w14:paraId="2E7E1931">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指标1：完成打造时间，指标值：=2024年10月31日，实际完成值：2024年10月</w:t>
      </w:r>
      <w:r>
        <w:rPr>
          <w:rFonts w:hint="eastAsia" w:ascii="Times New Roman" w:hAnsi="Times New Roman" w:eastAsia="仿宋_GB2312" w:cs="Times New Roman"/>
          <w:sz w:val="32"/>
          <w:szCs w:val="32"/>
          <w:lang w:val="en-US" w:eastAsia="zh-CN"/>
        </w:rPr>
        <w:t>14</w:t>
      </w:r>
      <w:r>
        <w:rPr>
          <w:rFonts w:hint="default" w:ascii="Times New Roman" w:hAnsi="Times New Roman" w:eastAsia="仿宋_GB2312" w:cs="Times New Roman"/>
          <w:sz w:val="32"/>
          <w:szCs w:val="32"/>
        </w:rPr>
        <w:t>日，指标完成率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p>
    <w:p w14:paraId="7B1ED97D">
      <w:pPr>
        <w:spacing w:line="600" w:lineRule="exact"/>
        <w:ind w:firstLine="640" w:firstLineChars="200"/>
        <w:outlineLvl w:val="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故</w:t>
      </w:r>
      <w:r>
        <w:rPr>
          <w:rFonts w:hint="eastAsia" w:eastAsia="仿宋_GB2312" w:cs="Times New Roman"/>
          <w:sz w:val="32"/>
          <w:szCs w:val="32"/>
          <w:lang w:val="en-US" w:eastAsia="zh-CN"/>
        </w:rPr>
        <w:t>产出时效指标，</w:t>
      </w:r>
      <w:r>
        <w:rPr>
          <w:rFonts w:hint="default" w:ascii="Times New Roman" w:hAnsi="Times New Roman" w:eastAsia="仿宋_GB2312" w:cs="Times New Roman"/>
          <w:sz w:val="32"/>
          <w:szCs w:val="32"/>
        </w:rPr>
        <w:t>得分为</w:t>
      </w:r>
      <w:r>
        <w:rPr>
          <w:rFonts w:hint="eastAsia" w:ascii="Times New Roman" w:hAnsi="Times New Roman" w:eastAsia="仿宋_GB2312" w:cs="Times New Roman"/>
          <w:sz w:val="32"/>
          <w:szCs w:val="32"/>
        </w:rPr>
        <w:t>10</w:t>
      </w:r>
      <w:r>
        <w:rPr>
          <w:rFonts w:hint="default" w:ascii="Times New Roman" w:hAnsi="Times New Roman" w:eastAsia="仿宋_GB2312" w:cs="Times New Roman"/>
          <w:sz w:val="32"/>
          <w:szCs w:val="32"/>
        </w:rPr>
        <w:t>分。</w:t>
      </w:r>
    </w:p>
    <w:p w14:paraId="4490FD22">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4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④</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成本指标：</w:t>
      </w:r>
    </w:p>
    <w:p w14:paraId="3BAD3B49">
      <w:pP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指标1：每套用房打造单价，指标值：=</w:t>
      </w:r>
      <w:r>
        <w:rPr>
          <w:rFonts w:hint="eastAsia" w:eastAsia="仿宋_GB2312" w:cs="Times New Roman"/>
          <w:sz w:val="32"/>
          <w:szCs w:val="32"/>
          <w:lang w:val="en-US" w:eastAsia="zh-CN"/>
        </w:rPr>
        <w:t>30000元</w:t>
      </w:r>
      <w:r>
        <w:rPr>
          <w:rFonts w:hint="default" w:ascii="Times New Roman" w:hAnsi="Times New Roman" w:eastAsia="仿宋_GB2312" w:cs="Times New Roman"/>
          <w:sz w:val="32"/>
          <w:szCs w:val="32"/>
        </w:rPr>
        <w:t>，实际完成值：</w:t>
      </w:r>
      <w:r>
        <w:rPr>
          <w:rFonts w:hint="eastAsia" w:eastAsia="仿宋_GB2312" w:cs="Times New Roman"/>
          <w:sz w:val="32"/>
          <w:szCs w:val="32"/>
          <w:lang w:val="en-US" w:eastAsia="zh-CN"/>
        </w:rPr>
        <w:t>30000元</w:t>
      </w:r>
      <w:r>
        <w:rPr>
          <w:rFonts w:hint="default" w:ascii="Times New Roman" w:hAnsi="Times New Roman" w:eastAsia="仿宋_GB2312" w:cs="Times New Roman"/>
          <w:sz w:val="32"/>
          <w:szCs w:val="32"/>
        </w:rPr>
        <w:t>，指标完成率</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eastAsia" w:eastAsia="仿宋_GB2312" w:cs="Times New Roman"/>
          <w:sz w:val="32"/>
          <w:szCs w:val="32"/>
          <w:lang w:val="en-US" w:eastAsia="zh-CN"/>
        </w:rPr>
        <w:t>项目总资金126万元，建设房屋42套，每套建设资金3万元。</w:t>
      </w:r>
    </w:p>
    <w:p w14:paraId="175833C3">
      <w:pPr>
        <w:autoSpaceDE w:val="0"/>
        <w:spacing w:line="560" w:lineRule="exact"/>
        <w:ind w:firstLine="643"/>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故</w:t>
      </w:r>
      <w:r>
        <w:rPr>
          <w:rFonts w:hint="eastAsia" w:eastAsia="仿宋_GB2312" w:cs="Times New Roman"/>
          <w:sz w:val="32"/>
          <w:szCs w:val="32"/>
          <w:lang w:val="en-US" w:eastAsia="zh-CN"/>
        </w:rPr>
        <w:t>产出成本指标</w:t>
      </w:r>
      <w:r>
        <w:rPr>
          <w:rFonts w:hint="eastAsia" w:ascii="Times New Roman" w:hAnsi="Times New Roman" w:eastAsia="仿宋_GB2312" w:cs="Times New Roman"/>
          <w:sz w:val="32"/>
          <w:szCs w:val="32"/>
        </w:rPr>
        <w:t>，得分</w:t>
      </w:r>
      <w:r>
        <w:rPr>
          <w:rFonts w:hint="eastAsia" w:eastAsia="仿宋_GB2312" w:cs="Times New Roman"/>
          <w:sz w:val="32"/>
          <w:szCs w:val="32"/>
          <w:lang w:val="en-US" w:eastAsia="zh-CN"/>
        </w:rPr>
        <w:t>为</w:t>
      </w:r>
      <w:r>
        <w:rPr>
          <w:rFonts w:hint="eastAsia" w:ascii="Times New Roman" w:hAnsi="Times New Roman" w:eastAsia="仿宋_GB2312" w:cs="Times New Roman"/>
          <w:sz w:val="32"/>
          <w:szCs w:val="32"/>
        </w:rPr>
        <w:t>10分。</w:t>
      </w:r>
    </w:p>
    <w:p w14:paraId="7F4FF560">
      <w:pPr>
        <w:autoSpaceDE w:val="0"/>
        <w:spacing w:line="560" w:lineRule="exact"/>
        <w:ind w:firstLine="643"/>
        <w:rPr>
          <w:rFonts w:ascii="Times New Roman" w:hAnsi="Times New Roman" w:cs="Times New Roman"/>
          <w:b/>
          <w:kern w:val="0"/>
          <w:sz w:val="32"/>
          <w:szCs w:val="32"/>
          <w:highlight w:val="none"/>
        </w:rPr>
      </w:pPr>
      <w:r>
        <w:rPr>
          <w:rFonts w:ascii="Times New Roman" w:hAnsi="Times New Roman" w:cs="Times New Roman"/>
          <w:b/>
          <w:kern w:val="0"/>
          <w:sz w:val="32"/>
          <w:szCs w:val="32"/>
          <w:highlight w:val="none"/>
        </w:rPr>
        <w:t>综上，该部分指标满分40分，得分</w:t>
      </w:r>
      <w:r>
        <w:rPr>
          <w:rFonts w:hint="eastAsia" w:ascii="Times New Roman" w:hAnsi="Times New Roman" w:cs="Times New Roman"/>
          <w:sz w:val="32"/>
          <w:szCs w:val="32"/>
          <w:highlight w:val="none"/>
        </w:rPr>
        <w:t>40</w:t>
      </w:r>
      <w:r>
        <w:rPr>
          <w:rFonts w:ascii="Times New Roman" w:hAnsi="Times New Roman" w:cs="Times New Roman"/>
          <w:b/>
          <w:kern w:val="0"/>
          <w:sz w:val="32"/>
          <w:szCs w:val="32"/>
          <w:highlight w:val="none"/>
        </w:rPr>
        <w:t>分。</w:t>
      </w:r>
    </w:p>
    <w:p w14:paraId="4A774C47">
      <w:pPr>
        <w:spacing w:line="600" w:lineRule="exact"/>
        <w:ind w:firstLine="640" w:firstLineChars="200"/>
        <w:outlineLvl w:val="0"/>
        <w:rPr>
          <w:rFonts w:hint="default" w:ascii="Times New Roman" w:hAnsi="Times New Roman" w:eastAsia="仿宋_GB2312" w:cs="Times New Roman"/>
          <w:sz w:val="32"/>
          <w:szCs w:val="32"/>
        </w:rPr>
      </w:pPr>
    </w:p>
    <w:p w14:paraId="2BFD76BF">
      <w:pPr>
        <w:spacing w:line="600" w:lineRule="exact"/>
        <w:ind w:firstLine="640" w:firstLineChars="200"/>
        <w:outlineLvl w:val="0"/>
        <w:rPr>
          <w:rFonts w:hint="default" w:ascii="Times New Roman" w:hAnsi="Times New Roman" w:eastAsia="仿宋_GB2312" w:cs="Times New Roman"/>
          <w:sz w:val="32"/>
          <w:szCs w:val="32"/>
        </w:rPr>
      </w:pPr>
    </w:p>
    <w:p w14:paraId="5D156AF0">
      <w:pPr>
        <w:pStyle w:val="9"/>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项目效益情况</w:t>
      </w:r>
    </w:p>
    <w:p w14:paraId="75591F7D">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w:t>
      </w:r>
      <w:r>
        <w:rPr>
          <w:rFonts w:hint="default" w:ascii="Times New Roman" w:hAnsi="Times New Roman" w:eastAsia="仿宋_GB2312" w:cs="Times New Roman"/>
          <w:sz w:val="32"/>
          <w:szCs w:val="32"/>
          <w:highlight w:val="none"/>
        </w:rPr>
        <w:t>效益类指标包括项目实施效益和满意度两方面的内容，由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%。具体效益指标及满意度指标完成情况如下：</w:t>
      </w:r>
    </w:p>
    <w:p w14:paraId="48ABC554">
      <w:pPr>
        <w:spacing w:line="600" w:lineRule="exact"/>
        <w:ind w:firstLine="643" w:firstLineChars="200"/>
        <w:outlineLvl w:val="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1.实施效益</w:t>
      </w:r>
    </w:p>
    <w:p w14:paraId="094BE6A2">
      <w:pPr>
        <w:spacing w:line="600" w:lineRule="exact"/>
        <w:ind w:firstLine="640" w:firstLineChars="200"/>
        <w:outlineLvl w:val="0"/>
        <w:rPr>
          <w:rFonts w:ascii="Times New Roman" w:hAnsi="Times New Roman" w:cs="Times New Roman"/>
          <w:sz w:val="32"/>
          <w:szCs w:val="32"/>
          <w:highlight w:val="none"/>
        </w:rPr>
      </w:pPr>
      <w:r>
        <w:rPr>
          <w:rFonts w:hint="default" w:ascii="Times New Roman" w:hAnsi="Times New Roman" w:eastAsia="仿宋_GB2312" w:cs="Times New Roman"/>
          <w:sz w:val="32"/>
          <w:szCs w:val="32"/>
        </w:rPr>
        <w:t>①经济效益指标：不适用。</w:t>
      </w:r>
    </w:p>
    <w:p w14:paraId="0D1A9047">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②社会效益指标：</w:t>
      </w:r>
    </w:p>
    <w:p w14:paraId="64D144CC">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指标1：提高牧民越冬放牧点用房安全，指标值：有效提高，实际完成值：</w:t>
      </w:r>
      <w:r>
        <w:rPr>
          <w:rFonts w:hint="default" w:ascii="Times New Roman" w:hAnsi="Times New Roman" w:eastAsia="仿宋_GB2312" w:cs="Times New Roman"/>
          <w:sz w:val="32"/>
          <w:szCs w:val="32"/>
          <w:lang w:val="en-US" w:eastAsia="zh-CN"/>
        </w:rPr>
        <w:t>完全达成预期目标</w:t>
      </w:r>
      <w:r>
        <w:rPr>
          <w:rFonts w:hint="default" w:ascii="Times New Roman" w:hAnsi="Times New Roman" w:eastAsia="仿宋_GB2312" w:cs="Times New Roman"/>
          <w:sz w:val="32"/>
          <w:szCs w:val="32"/>
        </w:rPr>
        <w:t>，指标完成率</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eastAsia" w:eastAsia="仿宋_GB2312" w:cs="Times New Roman"/>
          <w:sz w:val="32"/>
          <w:szCs w:val="32"/>
          <w:lang w:val="en-US" w:eastAsia="zh-CN"/>
        </w:rPr>
        <w:t>项目通过对42户牧民越冬放牧点生产用房拆除原有建筑、新建混凝土地坪等，并采用成品房屋吊装方式实施新生产用房，项目施工及成品房屋均验收合格，有效提高牧民越冬放牧点用房安全性，保障牧民住房安全。</w:t>
      </w:r>
      <w:r>
        <w:rPr>
          <w:rFonts w:hint="eastAsia" w:eastAsia="仿宋_GB2312" w:cs="Times New Roman"/>
          <w:sz w:val="32"/>
          <w:szCs w:val="32"/>
          <w:lang w:val="en-US" w:eastAsia="zh-CN"/>
        </w:rPr>
        <w:br w:type="textWrapping"/>
      </w:r>
      <w:r>
        <w:rPr>
          <w:rFonts w:hint="eastAsia" w:eastAsia="仿宋_GB2312" w:cs="Times New Roman"/>
          <w:sz w:val="32"/>
          <w:szCs w:val="32"/>
          <w:lang w:val="en-US" w:eastAsia="zh-CN"/>
        </w:rPr>
        <w:t xml:space="preserve">    </w:t>
      </w:r>
      <w:r>
        <w:rPr>
          <w:rFonts w:hint="default" w:ascii="Times New Roman" w:hAnsi="Times New Roman" w:eastAsia="仿宋_GB2312" w:cs="Times New Roman"/>
          <w:sz w:val="32"/>
          <w:szCs w:val="32"/>
        </w:rPr>
        <w:t>③生态效益指标：不适用。</w:t>
      </w:r>
    </w:p>
    <w:p w14:paraId="71B60B53">
      <w:pPr>
        <w:autoSpaceDE w:val="0"/>
        <w:spacing w:line="560" w:lineRule="exact"/>
        <w:ind w:firstLine="643"/>
        <w:rPr>
          <w:rFonts w:hint="default" w:ascii="Times New Roman" w:hAnsi="Times New Roman" w:cs="Times New Roman"/>
          <w:b/>
          <w:kern w:val="0"/>
          <w:sz w:val="32"/>
          <w:szCs w:val="32"/>
          <w:highlight w:val="none"/>
        </w:rPr>
      </w:pPr>
      <w:r>
        <w:rPr>
          <w:rFonts w:hint="eastAsia" w:ascii="Times New Roman" w:hAnsi="Times New Roman" w:cs="Times New Roman"/>
          <w:b/>
          <w:kern w:val="0"/>
          <w:sz w:val="32"/>
          <w:szCs w:val="32"/>
          <w:highlight w:val="none"/>
        </w:rPr>
        <w:t>综上，该指标满分</w:t>
      </w:r>
      <w:r>
        <w:rPr>
          <w:rFonts w:ascii="Times New Roman" w:hAnsi="Times New Roman" w:cs="Times New Roman"/>
          <w:b/>
          <w:kern w:val="0"/>
          <w:sz w:val="32"/>
          <w:szCs w:val="32"/>
          <w:highlight w:val="none"/>
        </w:rPr>
        <w:t>10</w:t>
      </w:r>
      <w:r>
        <w:rPr>
          <w:rFonts w:hint="eastAsia" w:ascii="Times New Roman" w:hAnsi="Times New Roman" w:cs="Times New Roman"/>
          <w:b/>
          <w:kern w:val="0"/>
          <w:sz w:val="32"/>
          <w:szCs w:val="32"/>
          <w:highlight w:val="none"/>
        </w:rPr>
        <w:t>分，得分</w:t>
      </w:r>
      <w:r>
        <w:rPr>
          <w:rFonts w:hint="eastAsia" w:cs="Times New Roman"/>
          <w:b/>
          <w:kern w:val="0"/>
          <w:sz w:val="32"/>
          <w:szCs w:val="32"/>
          <w:highlight w:val="none"/>
          <w:lang w:val="en-US" w:eastAsia="zh-CN"/>
        </w:rPr>
        <w:t>10</w:t>
      </w:r>
      <w:r>
        <w:rPr>
          <w:rFonts w:hint="eastAsia" w:ascii="Times New Roman" w:hAnsi="Times New Roman" w:cs="Times New Roman"/>
          <w:b/>
          <w:kern w:val="0"/>
          <w:sz w:val="32"/>
          <w:szCs w:val="32"/>
          <w:highlight w:val="none"/>
        </w:rPr>
        <w:t>分。</w:t>
      </w:r>
    </w:p>
    <w:p w14:paraId="4980EFB6">
      <w:pPr>
        <w:spacing w:line="600" w:lineRule="exact"/>
        <w:ind w:firstLine="640" w:firstLineChars="200"/>
        <w:outlineLvl w:val="0"/>
        <w:rPr>
          <w:rFonts w:hint="default" w:ascii="Times New Roman" w:hAnsi="Times New Roman" w:eastAsia="仿宋_GB2312" w:cs="Times New Roman"/>
          <w:sz w:val="32"/>
          <w:szCs w:val="32"/>
        </w:rPr>
      </w:pPr>
    </w:p>
    <w:p w14:paraId="6336ECF1">
      <w:pPr>
        <w:spacing w:line="600" w:lineRule="exact"/>
        <w:ind w:firstLine="643" w:firstLineChars="200"/>
        <w:outlineLvl w:val="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2.满意度</w:t>
      </w:r>
    </w:p>
    <w:p w14:paraId="6209CFEE">
      <w:pPr>
        <w:spacing w:line="560" w:lineRule="exact"/>
        <w:ind w:firstLine="640" w:firstLineChars="200"/>
        <w:rPr>
          <w:rFonts w:hint="default" w:eastAsia="仿宋_GB2312" w:cs="Times New Roman"/>
          <w:sz w:val="32"/>
          <w:szCs w:val="32"/>
          <w:lang w:val="en-US" w:eastAsia="zh-CN"/>
        </w:rPr>
      </w:pPr>
      <w:r>
        <w:rPr>
          <w:rFonts w:hint="eastAsia" w:ascii="仿宋_GB2312" w:hAnsi="仿宋_GB2312" w:eastAsia="仿宋_GB2312" w:cs="仿宋_GB2312"/>
          <w:sz w:val="32"/>
          <w:szCs w:val="32"/>
        </w:rPr>
        <w:t>满意度指标：</w:t>
      </w:r>
      <w:r>
        <w:rPr>
          <w:rFonts w:hint="default" w:ascii="Times New Roman" w:hAnsi="Times New Roman" w:eastAsia="仿宋_GB2312" w:cs="Times New Roman"/>
          <w:sz w:val="32"/>
          <w:szCs w:val="32"/>
        </w:rPr>
        <w:t>辖区牧民满意度，指标值：&gt;=95%，实际完成值：</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rPr>
        <w:t>，指标完成率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rPr>
        <w:t>一共发放了</w:t>
      </w:r>
      <w:r>
        <w:rPr>
          <w:rFonts w:hint="eastAsia" w:eastAsia="仿宋_GB2312" w:cs="Times New Roman"/>
          <w:sz w:val="32"/>
          <w:szCs w:val="32"/>
          <w:lang w:val="en-US" w:eastAsia="zh-CN"/>
        </w:rPr>
        <w:t>20</w:t>
      </w:r>
      <w:r>
        <w:rPr>
          <w:rFonts w:hint="eastAsia" w:ascii="Times New Roman" w:hAnsi="Times New Roman" w:eastAsia="仿宋_GB2312" w:cs="Times New Roman"/>
          <w:sz w:val="32"/>
          <w:szCs w:val="32"/>
        </w:rPr>
        <w:t>份问卷，回收了</w:t>
      </w:r>
      <w:r>
        <w:rPr>
          <w:rFonts w:hint="eastAsia" w:eastAsia="仿宋_GB2312" w:cs="Times New Roman"/>
          <w:sz w:val="32"/>
          <w:szCs w:val="32"/>
          <w:lang w:val="en-US" w:eastAsia="zh-CN"/>
        </w:rPr>
        <w:t>20份</w:t>
      </w:r>
      <w:r>
        <w:rPr>
          <w:rFonts w:hint="eastAsia" w:ascii="Times New Roman" w:hAnsi="Times New Roman" w:eastAsia="仿宋_GB2312" w:cs="Times New Roman"/>
          <w:sz w:val="32"/>
          <w:szCs w:val="32"/>
        </w:rPr>
        <w:t>问卷</w:t>
      </w:r>
      <w:r>
        <w:rPr>
          <w:rFonts w:hint="eastAsia" w:eastAsia="仿宋_GB2312" w:cs="Times New Roman"/>
          <w:sz w:val="32"/>
          <w:szCs w:val="32"/>
          <w:lang w:eastAsia="zh-CN"/>
        </w:rPr>
        <w:t>。</w:t>
      </w:r>
      <w:r>
        <w:rPr>
          <w:rFonts w:hint="eastAsia" w:eastAsia="仿宋_GB2312" w:cs="Times New Roman"/>
          <w:sz w:val="32"/>
          <w:szCs w:val="32"/>
          <w:lang w:val="en-US" w:eastAsia="zh-CN"/>
        </w:rPr>
        <w:t>牧民对问题“您认为</w:t>
      </w:r>
      <w:r>
        <w:rPr>
          <w:rFonts w:hint="eastAsia" w:eastAsia="仿宋_GB2312" w:cs="Times New Roman"/>
          <w:sz w:val="32"/>
          <w:szCs w:val="32"/>
          <w:lang w:eastAsia="zh-CN"/>
        </w:rPr>
        <w:t>通过 2024 年打造越冬放牧用房项目</w:t>
      </w:r>
      <w:r>
        <w:rPr>
          <w:rFonts w:hint="eastAsia" w:eastAsia="仿宋_GB2312" w:cs="Times New Roman"/>
          <w:sz w:val="32"/>
          <w:szCs w:val="32"/>
          <w:lang w:val="en-US" w:eastAsia="zh-CN"/>
        </w:rPr>
        <w:t>是否</w:t>
      </w:r>
      <w:r>
        <w:rPr>
          <w:rFonts w:hint="eastAsia" w:eastAsia="仿宋_GB2312" w:cs="Times New Roman"/>
          <w:sz w:val="32"/>
          <w:szCs w:val="32"/>
          <w:lang w:eastAsia="zh-CN"/>
        </w:rPr>
        <w:t>可以提高牧民越冬放牧点用房安全”</w:t>
      </w:r>
      <w:r>
        <w:rPr>
          <w:rFonts w:hint="eastAsia" w:eastAsia="仿宋_GB2312" w:cs="Times New Roman"/>
          <w:sz w:val="32"/>
          <w:szCs w:val="32"/>
          <w:lang w:val="en-US" w:eastAsia="zh-CN"/>
        </w:rPr>
        <w:t>打出20份“可以”问卷。</w:t>
      </w:r>
    </w:p>
    <w:p w14:paraId="4B9DEBAC">
      <w:pPr>
        <w:autoSpaceDE w:val="0"/>
        <w:spacing w:line="560" w:lineRule="exact"/>
        <w:ind w:firstLine="643"/>
        <w:rPr>
          <w:rFonts w:hint="default" w:ascii="Times New Roman" w:hAnsi="Times New Roman" w:cs="Times New Roman"/>
          <w:b/>
          <w:kern w:val="0"/>
          <w:sz w:val="32"/>
          <w:szCs w:val="32"/>
          <w:highlight w:val="none"/>
        </w:rPr>
      </w:pPr>
      <w:r>
        <w:rPr>
          <w:rFonts w:hint="eastAsia" w:ascii="Times New Roman" w:hAnsi="Times New Roman" w:cs="Times New Roman"/>
          <w:b/>
          <w:kern w:val="0"/>
          <w:sz w:val="32"/>
          <w:szCs w:val="32"/>
          <w:highlight w:val="none"/>
        </w:rPr>
        <w:t>综上，该指标满分</w:t>
      </w:r>
      <w:r>
        <w:rPr>
          <w:rFonts w:ascii="Times New Roman" w:hAnsi="Times New Roman" w:cs="Times New Roman"/>
          <w:b/>
          <w:kern w:val="0"/>
          <w:sz w:val="32"/>
          <w:szCs w:val="32"/>
          <w:highlight w:val="none"/>
        </w:rPr>
        <w:t>10</w:t>
      </w:r>
      <w:r>
        <w:rPr>
          <w:rFonts w:hint="eastAsia" w:ascii="Times New Roman" w:hAnsi="Times New Roman" w:cs="Times New Roman"/>
          <w:b/>
          <w:kern w:val="0"/>
          <w:sz w:val="32"/>
          <w:szCs w:val="32"/>
          <w:highlight w:val="none"/>
        </w:rPr>
        <w:t>分，得分</w:t>
      </w:r>
      <w:r>
        <w:rPr>
          <w:rFonts w:hint="eastAsia" w:cs="Times New Roman"/>
          <w:b/>
          <w:kern w:val="0"/>
          <w:sz w:val="32"/>
          <w:szCs w:val="32"/>
          <w:highlight w:val="none"/>
          <w:lang w:val="en-US" w:eastAsia="zh-CN"/>
        </w:rPr>
        <w:t>10</w:t>
      </w:r>
      <w:r>
        <w:rPr>
          <w:rFonts w:hint="eastAsia" w:ascii="Times New Roman" w:hAnsi="Times New Roman" w:cs="Times New Roman"/>
          <w:b/>
          <w:kern w:val="0"/>
          <w:sz w:val="32"/>
          <w:szCs w:val="32"/>
          <w:highlight w:val="none"/>
        </w:rPr>
        <w:t>分。</w:t>
      </w:r>
    </w:p>
    <w:p w14:paraId="242C03D4">
      <w:pPr>
        <w:spacing w:line="560" w:lineRule="exact"/>
        <w:ind w:firstLine="640" w:firstLineChars="200"/>
        <w:rPr>
          <w:rFonts w:hint="eastAsia" w:eastAsia="仿宋_GB2312" w:cs="Times New Roman"/>
          <w:sz w:val="32"/>
          <w:szCs w:val="32"/>
          <w:lang w:val="en-US" w:eastAsia="zh-CN"/>
        </w:rPr>
      </w:pPr>
    </w:p>
    <w:p w14:paraId="1CCC435A">
      <w:pPr>
        <w:spacing w:line="560" w:lineRule="exact"/>
        <w:ind w:firstLine="640" w:firstLineChars="200"/>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49580344">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23E61403">
      <w:pPr>
        <w:pStyle w:val="8"/>
        <w:spacing w:before="0" w:after="0" w:line="560" w:lineRule="exact"/>
        <w:ind w:firstLine="640" w:firstLineChars="200"/>
        <w:jc w:val="left"/>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1、按照年初预算资金项目组织并实施，加强年初预算项目的管理，提高项目资金预算的准确性。石人子沟街道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p>
    <w:p w14:paraId="20E781D0">
      <w:pPr>
        <w:pStyle w:val="8"/>
        <w:spacing w:before="0" w:after="0" w:line="560" w:lineRule="exact"/>
        <w:ind w:firstLine="640" w:firstLineChars="200"/>
        <w:jc w:val="left"/>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2、重视项目支出绩效评价管理工作，随着财政投资项目支出规模逐年增加，财政投资项目效益评估备受关注，加强财政投资项目资金使用的监督管理，提高财政资金使用规范性、安全性和有效性尤为重要。乌鲁木齐市水磨沟区石人子沟街道办事处积极响应区财政局的号召，重视项目支出绩效评价工作。按照相关规定认真填写项目绩效目标，灵活设置包括项目产出数量、质量、时效、成本，以及社会效益、生态效益、可持续影响、服务对象满意度为主体的绩效目标，以准确反映项目的产出和效益，有效地提高了绩效评价工作质量。</w:t>
      </w:r>
    </w:p>
    <w:p w14:paraId="652EAF80">
      <w:pPr>
        <w:pStyle w:val="8"/>
        <w:spacing w:before="0" w:after="0" w:line="560" w:lineRule="exact"/>
        <w:ind w:firstLine="640" w:firstLineChars="200"/>
        <w:jc w:val="left"/>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3、</w:t>
      </w:r>
      <w:r>
        <w:rPr>
          <w:rFonts w:hint="default" w:ascii="Times New Roman" w:hAnsi="Times New Roman" w:eastAsia="仿宋_GB2312" w:cs="Times New Roman"/>
          <w:b w:val="0"/>
          <w:bCs w:val="0"/>
          <w:kern w:val="2"/>
          <w:sz w:val="32"/>
          <w:szCs w:val="32"/>
          <w:lang w:val="en-US" w:eastAsia="zh-CN" w:bidi="ar-SA"/>
        </w:rPr>
        <w:t>领导高度重视专项资金的使用，严格资金的审批，提高资金的使用效率；管理规范，能按照项目资金管理办法来严格执行，强化监督检查，有效规范和加强专项资金的管理；专款专用，严格按照资金管理办法，做到专项核算，专项专用，没有截留，挤占挪用现象。</w:t>
      </w:r>
    </w:p>
    <w:p w14:paraId="2D6E6C18">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6275256E">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还需要完善内部控制体系建设，建立项目的绩效跟踪机制，对项目执行情况进行督促落实，确保财政资金发挥最大效益。有些部门职能不明确，个别工作分工不清晰，</w:t>
      </w:r>
      <w:r>
        <w:rPr>
          <w:rFonts w:hint="eastAsia" w:eastAsia="仿宋_GB2312" w:cs="Times New Roman"/>
          <w:sz w:val="32"/>
          <w:szCs w:val="32"/>
          <w:lang w:val="en-US" w:eastAsia="zh-CN"/>
        </w:rPr>
        <w:t>绩效</w:t>
      </w:r>
      <w:r>
        <w:rPr>
          <w:rFonts w:hint="default" w:ascii="Times New Roman" w:hAnsi="Times New Roman" w:eastAsia="仿宋_GB2312" w:cs="Times New Roman"/>
          <w:sz w:val="32"/>
          <w:szCs w:val="32"/>
        </w:rPr>
        <w:t>考核制度不够完善，考核部分内容和人员名单更新滞后。已制定由详细的内部控制制度，且本项目已有相关的项目采购管理、项目时间管理、项目风险管理等制度。整个项目执行过程中严格按照制度要求进行，但缺少必要的与本项目相结合的质量管理制度。上述制度的缺乏不利于相关业务质量管理、验收及评价等工作的有效开展，业务管理制度不够完善，仍需加强。</w:t>
      </w:r>
    </w:p>
    <w:p w14:paraId="3A8D7121">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、有关建议</w:t>
      </w:r>
    </w:p>
    <w:p w14:paraId="165B5CC6">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进一步建立项目的质量管理制度乌鲁木齐市水磨沟区石人子沟街道办事处应建立健全业务质量管理制度。同时，由于不同项目之间的质量管理要求具有差异性，建议在总体业务质量管理制度的基础上，进一步结合每个项目的不同特点，建立与该项目相关且具体的质量管理要求，从而对每个子项目都达到更可行的监督和管理，增强全员的质量意识，营造人人关注质量的良好氛围，促进财政项目的高质量完成。</w:t>
      </w:r>
    </w:p>
    <w:p w14:paraId="3E969EE0">
      <w:pPr>
        <w:spacing w:line="60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全面落实经费管理制度，加强对资金使用的监管，要严格遵循街道办事处的经费管理制度，尤其是支付金额达到上会要求的，要严格遵循先报街道财经会研究同意，再根据列支事由拟定经费使用审批单，最后由经办人2人、科室长、分管领导、街道财务分管领导、主管领导、财经领导小组组长填写意见签字后，最终给予支付的经费支付审批流程。通过加大对资金使用的监管力度，全面加强各类经费的管理。</w:t>
      </w:r>
    </w:p>
    <w:p w14:paraId="785DEC67">
      <w:pPr>
        <w:rPr>
          <w:rFonts w:hint="default" w:ascii="Times New Roman" w:hAnsi="Times New Roman" w:cs="Times New Roman"/>
        </w:rPr>
      </w:pPr>
      <w:r>
        <w:br w:type="page"/>
      </w:r>
    </w:p>
    <w:p w14:paraId="2BBCF813">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rPr>
        <w:t>、其他需要说</w:t>
      </w:r>
      <w:bookmarkStart w:id="8" w:name="page8"/>
      <w:bookmarkEnd w:id="8"/>
      <w:r>
        <w:rPr>
          <w:rFonts w:hint="default" w:ascii="Times New Roman" w:hAnsi="Times New Roman" w:eastAsia="黑体" w:cs="Times New Roman"/>
          <w:sz w:val="32"/>
          <w:szCs w:val="32"/>
        </w:rPr>
        <w:t>明的问题</w:t>
      </w:r>
    </w:p>
    <w:p w14:paraId="0C01BCCB">
      <w:pPr>
        <w:pStyle w:val="10"/>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3B3F6604">
      <w:pPr>
        <w:pStyle w:val="8"/>
        <w:jc w:val="both"/>
        <w:rPr>
          <w:rFonts w:hint="default" w:ascii="Times New Roman" w:hAnsi="Times New Roman" w:cs="Times New Roman"/>
        </w:rPr>
        <w:sectPr>
          <w:type w:val="continuous"/>
          <w:pgSz w:w="11906" w:h="16838"/>
          <w:pgMar w:top="1440" w:right="1558" w:bottom="1440" w:left="1800" w:header="851" w:footer="992" w:gutter="0"/>
          <w:cols w:space="425" w:num="1"/>
          <w:docGrid w:type="lines" w:linePitch="312" w:charSpace="0"/>
        </w:sectPr>
      </w:pPr>
      <w:bookmarkStart w:id="9" w:name="_GoBack"/>
      <w:bookmarkEnd w:id="9"/>
    </w:p>
    <w:p w14:paraId="66C48C7B">
      <w:pPr>
        <w:rPr>
          <w:rFonts w:hint="default" w:ascii="Times New Roman" w:hAnsi="Times New Roman" w:eastAsia="宋体" w:cs="Times New Roman"/>
          <w:lang w:val="en-US" w:eastAsia="zh-C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203EB31-F54F-4717-B8E7-05FF1A30616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C298AE0B-17E0-4112-8DA7-334FACD4BA84}"/>
  </w:font>
  <w:font w:name="华文中宋">
    <w:panose1 w:val="02010600040101010101"/>
    <w:charset w:val="86"/>
    <w:family w:val="auto"/>
    <w:pitch w:val="default"/>
    <w:sig w:usb0="00000287" w:usb1="080F0000" w:usb2="00000000" w:usb3="00000000" w:csb0="0004009F" w:csb1="DFD70000"/>
    <w:embedRegular r:id="rId3" w:fontKey="{264CDE44-9388-4ECE-A98C-3DFCDAC3B9D5}"/>
  </w:font>
  <w:font w:name="方正小标宋_GBK">
    <w:panose1 w:val="02000000000000000000"/>
    <w:charset w:val="86"/>
    <w:family w:val="script"/>
    <w:pitch w:val="default"/>
    <w:sig w:usb0="A00002BF" w:usb1="38CF7CFA" w:usb2="00082016" w:usb3="00000000" w:csb0="00040001" w:csb1="00000000"/>
    <w:embedRegular r:id="rId4" w:fontKey="{519F3E73-43B5-42EF-90A5-D2BEBA5E13A7}"/>
  </w:font>
  <w:font w:name="楷体_GB2312">
    <w:panose1 w:val="02010609030101010101"/>
    <w:charset w:val="86"/>
    <w:family w:val="auto"/>
    <w:pitch w:val="default"/>
    <w:sig w:usb0="00000001" w:usb1="080E0000" w:usb2="00000000" w:usb3="00000000" w:csb0="00040000" w:csb1="00000000"/>
    <w:embedRegular r:id="rId5" w:fontKey="{287B5094-1F43-4677-9D71-1883BD92278D}"/>
  </w:font>
  <w:font w:name="方正仿宋_GBK">
    <w:panose1 w:val="02000000000000000000"/>
    <w:charset w:val="86"/>
    <w:family w:val="auto"/>
    <w:pitch w:val="default"/>
    <w:sig w:usb0="A00002BF" w:usb1="38CF7CFA" w:usb2="00082016" w:usb3="00000000" w:csb0="00040001" w:csb1="00000000"/>
    <w:embedRegular r:id="rId6" w:fontKey="{7388FE4A-3B56-478B-8C4E-0C51E3CB189F}"/>
  </w:font>
  <w:font w:name="楷体">
    <w:panose1 w:val="02010609060101010101"/>
    <w:charset w:val="86"/>
    <w:family w:val="modern"/>
    <w:pitch w:val="default"/>
    <w:sig w:usb0="800002BF" w:usb1="38CF7CFA" w:usb2="00000016" w:usb3="00000000" w:csb0="00040001" w:csb1="00000000"/>
    <w:embedRegular r:id="rId7" w:fontKey="{CB3AF511-E32C-41FD-80A9-C17DA945B64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15D714BD">
        <w:pPr>
          <w:pStyle w:val="6"/>
          <w:jc w:val="center"/>
        </w:pPr>
        <w:r>
          <w:fldChar w:fldCharType="begin"/>
        </w:r>
        <w:r>
          <w:instrText xml:space="preserve">PAGE   \* MERGEFORMAT</w:instrText>
        </w:r>
        <w:r>
          <w:fldChar w:fldCharType="separate"/>
        </w:r>
        <w:r>
          <w:rPr>
            <w:lang w:val="zh-CN"/>
          </w:rPr>
          <w:t>13</w:t>
        </w:r>
        <w:r>
          <w:fldChar w:fldCharType="end"/>
        </w:r>
      </w:p>
    </w:sdtContent>
  </w:sdt>
  <w:p w14:paraId="5A8DADF1">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D214CD"/>
    <w:multiLevelType w:val="singleLevel"/>
    <w:tmpl w:val="B7D214CD"/>
    <w:lvl w:ilvl="0" w:tentative="0">
      <w:start w:val="3"/>
      <w:numFmt w:val="chineseCounting"/>
      <w:suff w:val="nothing"/>
      <w:lvlText w:val="（%1）"/>
      <w:lvlJc w:val="left"/>
      <w:rPr>
        <w:rFonts w:hint="eastAsia"/>
      </w:rPr>
    </w:lvl>
  </w:abstractNum>
  <w:abstractNum w:abstractNumId="1">
    <w:nsid w:val="CFC4C636"/>
    <w:multiLevelType w:val="singleLevel"/>
    <w:tmpl w:val="CFC4C636"/>
    <w:lvl w:ilvl="0" w:tentative="0">
      <w:start w:val="3"/>
      <w:numFmt w:val="chineseCounting"/>
      <w:suff w:val="nothing"/>
      <w:lvlText w:val="%1、"/>
      <w:lvlJc w:val="left"/>
      <w:rPr>
        <w:rFonts w:hint="eastAsia"/>
      </w:rPr>
    </w:lvl>
  </w:abstractNum>
  <w:abstractNum w:abstractNumId="2">
    <w:nsid w:val="E7B6EB88"/>
    <w:multiLevelType w:val="singleLevel"/>
    <w:tmpl w:val="E7B6EB88"/>
    <w:lvl w:ilvl="0" w:tentative="0">
      <w:start w:val="2"/>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6AE6148B"/>
    <w:multiLevelType w:val="singleLevel"/>
    <w:tmpl w:val="6AE6148B"/>
    <w:lvl w:ilvl="0" w:tentative="0">
      <w:start w:val="2"/>
      <w:numFmt w:val="chineseCounting"/>
      <w:suff w:val="nothing"/>
      <w:lvlText w:val="（%1）"/>
      <w:lvlJc w:val="left"/>
      <w:rPr>
        <w:rFonts w:hint="eastAsia"/>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CCD1D19"/>
    <w:rsid w:val="3511527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autoRedefine/>
    <w:qFormat/>
    <w:uiPriority w:val="0"/>
    <w:pPr>
      <w:spacing w:after="120"/>
    </w:pPr>
  </w:style>
  <w:style w:type="paragraph" w:styleId="4">
    <w:name w:val="Body Text Indent"/>
    <w:basedOn w:val="1"/>
    <w:autoRedefine/>
    <w:qFormat/>
    <w:uiPriority w:val="0"/>
    <w:pPr>
      <w:spacing w:after="120"/>
      <w:ind w:left="420" w:leftChars="200"/>
    </w:pPr>
    <w:rPr>
      <w:rFonts w:ascii="Calibri" w:hAnsi="Calibri"/>
    </w:rPr>
  </w:style>
  <w:style w:type="paragraph" w:styleId="5">
    <w:name w:val="Balloon Text"/>
    <w:basedOn w:val="1"/>
    <w:link w:val="20"/>
    <w:autoRedefine/>
    <w:qFormat/>
    <w:uiPriority w:val="0"/>
    <w:rPr>
      <w:sz w:val="18"/>
      <w:szCs w:val="18"/>
    </w:rPr>
  </w:style>
  <w:style w:type="paragraph" w:styleId="6">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9">
    <w:name w:val="Body Text First Indent"/>
    <w:basedOn w:val="3"/>
    <w:autoRedefine/>
    <w:qFormat/>
    <w:uiPriority w:val="0"/>
    <w:pPr>
      <w:spacing w:after="0"/>
      <w:ind w:firstLine="200" w:firstLineChars="200"/>
    </w:pPr>
  </w:style>
  <w:style w:type="paragraph" w:styleId="10">
    <w:name w:val="Body Text First Indent 2"/>
    <w:basedOn w:val="4"/>
    <w:autoRedefine/>
    <w:qFormat/>
    <w:uiPriority w:val="0"/>
    <w:pPr>
      <w:ind w:firstLine="420" w:firstLineChars="200"/>
    </w:pPr>
  </w:style>
  <w:style w:type="table" w:styleId="12">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Strong"/>
    <w:basedOn w:val="13"/>
    <w:autoRedefine/>
    <w:qFormat/>
    <w:uiPriority w:val="0"/>
    <w:rPr>
      <w:b/>
      <w:bCs/>
    </w:rPr>
  </w:style>
  <w:style w:type="paragraph" w:customStyle="1" w:styleId="15">
    <w:name w:val="Comment Text"/>
    <w:basedOn w:val="1"/>
    <w:link w:val="22"/>
    <w:autoRedefine/>
    <w:qFormat/>
    <w:uiPriority w:val="0"/>
    <w:pPr>
      <w:jc w:val="left"/>
    </w:pPr>
  </w:style>
  <w:style w:type="paragraph" w:customStyle="1" w:styleId="16">
    <w:name w:val="Comment Subject"/>
    <w:basedOn w:val="15"/>
    <w:next w:val="15"/>
    <w:link w:val="23"/>
    <w:autoRedefine/>
    <w:qFormat/>
    <w:uiPriority w:val="0"/>
    <w:rPr>
      <w:b/>
      <w:bCs/>
    </w:rPr>
  </w:style>
  <w:style w:type="character" w:customStyle="1" w:styleId="17">
    <w:name w:val="Comment Reference"/>
    <w:basedOn w:val="13"/>
    <w:autoRedefine/>
    <w:qFormat/>
    <w:uiPriority w:val="0"/>
    <w:rPr>
      <w:sz w:val="21"/>
      <w:szCs w:val="21"/>
    </w:rPr>
  </w:style>
  <w:style w:type="character" w:customStyle="1" w:styleId="18">
    <w:name w:val="fontstyle01"/>
    <w:autoRedefine/>
    <w:qFormat/>
    <w:uiPriority w:val="0"/>
    <w:rPr>
      <w:rFonts w:ascii="仿宋_GB2312" w:hAnsi="仿宋_GB2312" w:eastAsia="仿宋_GB2312" w:cs="仿宋_GB2312"/>
      <w:color w:val="000000"/>
      <w:sz w:val="32"/>
      <w:szCs w:val="32"/>
    </w:rPr>
  </w:style>
  <w:style w:type="paragraph" w:customStyle="1" w:styleId="19">
    <w:name w:val="闻政-正文段落文字"/>
    <w:basedOn w:val="1"/>
    <w:autoRedefine/>
    <w:qFormat/>
    <w:uiPriority w:val="3"/>
    <w:pPr>
      <w:spacing w:line="500" w:lineRule="exact"/>
      <w:ind w:firstLine="200"/>
    </w:pPr>
    <w:rPr>
      <w:kern w:val="0"/>
      <w:szCs w:val="28"/>
    </w:rPr>
  </w:style>
  <w:style w:type="character" w:customStyle="1" w:styleId="20">
    <w:name w:val="批注框文本 字符"/>
    <w:basedOn w:val="13"/>
    <w:link w:val="5"/>
    <w:autoRedefine/>
    <w:qFormat/>
    <w:uiPriority w:val="0"/>
    <w:rPr>
      <w:rFonts w:ascii="Times New Roman" w:hAnsi="Times New Roman" w:eastAsia="宋体" w:cs="Times New Roman"/>
      <w:kern w:val="2"/>
      <w:sz w:val="18"/>
      <w:szCs w:val="18"/>
    </w:rPr>
  </w:style>
  <w:style w:type="character" w:customStyle="1" w:styleId="21">
    <w:name w:val="页眉 字符"/>
    <w:basedOn w:val="13"/>
    <w:link w:val="7"/>
    <w:autoRedefine/>
    <w:qFormat/>
    <w:uiPriority w:val="0"/>
    <w:rPr>
      <w:rFonts w:ascii="Times New Roman" w:hAnsi="Times New Roman" w:eastAsia="宋体" w:cs="Times New Roman"/>
      <w:kern w:val="2"/>
      <w:sz w:val="18"/>
      <w:szCs w:val="18"/>
    </w:rPr>
  </w:style>
  <w:style w:type="character" w:customStyle="1" w:styleId="22">
    <w:name w:val="批注文字 字符"/>
    <w:basedOn w:val="13"/>
    <w:link w:val="15"/>
    <w:autoRedefine/>
    <w:qFormat/>
    <w:uiPriority w:val="0"/>
    <w:rPr>
      <w:rFonts w:ascii="Times New Roman" w:hAnsi="Times New Roman" w:eastAsia="宋体" w:cs="Times New Roman"/>
      <w:kern w:val="2"/>
      <w:sz w:val="21"/>
      <w:szCs w:val="24"/>
    </w:rPr>
  </w:style>
  <w:style w:type="character" w:customStyle="1" w:styleId="23">
    <w:name w:val="批注主题 字符"/>
    <w:basedOn w:val="22"/>
    <w:link w:val="16"/>
    <w:autoRedefine/>
    <w:qFormat/>
    <w:uiPriority w:val="0"/>
    <w:rPr>
      <w:rFonts w:ascii="Times New Roman" w:hAnsi="Times New Roman" w:eastAsia="宋体" w:cs="Times New Roman"/>
      <w:b/>
      <w:bCs/>
      <w:kern w:val="2"/>
      <w:sz w:val="21"/>
      <w:szCs w:val="24"/>
    </w:rPr>
  </w:style>
  <w:style w:type="character" w:customStyle="1" w:styleId="24">
    <w:name w:val="font51"/>
    <w:basedOn w:val="13"/>
    <w:autoRedefine/>
    <w:qFormat/>
    <w:uiPriority w:val="0"/>
    <w:rPr>
      <w:rFonts w:hint="default" w:ascii="Times New Roman" w:hAnsi="Times New Roman" w:cs="Times New Roman"/>
      <w:color w:val="000000"/>
      <w:sz w:val="22"/>
      <w:szCs w:val="22"/>
      <w:u w:val="none"/>
    </w:rPr>
  </w:style>
  <w:style w:type="character" w:customStyle="1" w:styleId="25">
    <w:name w:val="font01"/>
    <w:basedOn w:val="13"/>
    <w:autoRedefine/>
    <w:qFormat/>
    <w:uiPriority w:val="0"/>
    <w:rPr>
      <w:rFonts w:hint="eastAsia" w:ascii="宋体" w:hAnsi="宋体" w:eastAsia="宋体" w:cs="宋体"/>
      <w:color w:val="000000"/>
      <w:sz w:val="22"/>
      <w:szCs w:val="22"/>
      <w:u w:val="none"/>
    </w:rPr>
  </w:style>
  <w:style w:type="character" w:customStyle="1" w:styleId="26">
    <w:name w:val="font41"/>
    <w:basedOn w:val="13"/>
    <w:autoRedefine/>
    <w:qFormat/>
    <w:uiPriority w:val="0"/>
    <w:rPr>
      <w:rFonts w:hint="default" w:ascii="Times New Roman" w:hAnsi="Times New Roman" w:cs="Times New Roman"/>
      <w:color w:val="000000"/>
      <w:sz w:val="18"/>
      <w:szCs w:val="18"/>
      <w:u w:val="none"/>
    </w:rPr>
  </w:style>
  <w:style w:type="character" w:customStyle="1" w:styleId="27">
    <w:name w:val="font31"/>
    <w:basedOn w:val="13"/>
    <w:autoRedefine/>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35462C0B3FB543198819AAAFD75799DD_13</vt:lpwstr>
  </property>
  <property fmtid="{D5CDD505-2E9C-101B-9397-08002B2CF9AE}" pid="4" name="KSOTemplateDocerSaveRecord">
    <vt:lpwstr>eyJoZGlkIjoiMzM5ZjE4NmFiZDQ2ZDlmMzIwMjViNWNhMDBlODE1YjciLCJ1c2VySWQiOiIyNzM2MzkwNzYifQ==</vt:lpwstr>
  </property>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ccf13-70c3-44a6-ac44-cf3ab8d549a1}">
  <ds:schemaRefs/>
</ds:datastoreItem>
</file>

<file path=customXml/itemProps2.xml><?xml version="1.0" encoding="utf-8"?>
<ds:datastoreItem xmlns:ds="http://schemas.openxmlformats.org/officeDocument/2006/customXml" ds:itemID="{EEA5C986-6CAE-461A-935E-905AB5D0E2F3}">
  <ds:schemaRefs/>
</ds:datastoreItem>
</file>

<file path=docProps/app.xml><?xml version="1.0" encoding="utf-8"?>
<Properties xmlns="http://schemas.openxmlformats.org/officeDocument/2006/extended-properties" xmlns:vt="http://schemas.openxmlformats.org/officeDocument/2006/docPropsVTypes">
  <Template>Normal</Template>
  <Pages>29</Pages>
  <Words>3565</Words>
  <Characters>3743</Characters>
  <Lines>66</Lines>
  <Paragraphs>18</Paragraphs>
  <TotalTime>0</TotalTime>
  <ScaleCrop>false</ScaleCrop>
  <LinksUpToDate>false</LinksUpToDate>
  <CharactersWithSpaces>3751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2025-11-05T10:35:07Z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35462C0B3FB543198819AAAFD75799DD_13</vt:lpwstr>
  </property>
  <property fmtid="{D5CDD505-2E9C-101B-9397-08002B2CF9AE}" pid="4" name="KSOTemplateDocerSaveRecord">
    <vt:lpwstr>eyJoZGlkIjoiN2E1ZDY0MDI5MTE3YjM0ZGMyMzg4N2EwMDI4ZjJiM2YiLCJ1c2VySWQiOiIyNTk4NTcxMjUifQ==</vt:lpwstr>
  </property>
</Properties>
</file>